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绍兴市2021年度“1+9”政策绩效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评价</w:t>
      </w:r>
      <w:bookmarkStart w:id="0" w:name="_GoBack"/>
      <w:bookmarkEnd w:id="0"/>
      <w:r>
        <w:rPr>
          <w:rFonts w:hint="eastAsia" w:ascii="黑体" w:hAnsi="黑体" w:eastAsia="黑体" w:cs="黑体"/>
          <w:sz w:val="44"/>
          <w:szCs w:val="44"/>
          <w:lang w:val="en-US" w:eastAsia="zh-CN"/>
        </w:rPr>
        <w:t>报告——科技专项政策</w:t>
      </w:r>
    </w:p>
    <w:p>
      <w:pPr>
        <w:spacing w:line="600" w:lineRule="exact"/>
        <w:rPr>
          <w:color w:val="auto"/>
          <w:sz w:val="44"/>
          <w:szCs w:val="44"/>
        </w:rPr>
      </w:pPr>
    </w:p>
    <w:p>
      <w:pPr>
        <w:spacing w:line="600" w:lineRule="exact"/>
        <w:rPr>
          <w:rFonts w:hint="eastAsia" w:eastAsia="黑体"/>
          <w:b w:val="0"/>
          <w:bCs w:val="0"/>
          <w:color w:val="auto"/>
          <w:sz w:val="32"/>
          <w:szCs w:val="32"/>
        </w:rPr>
      </w:pPr>
      <w:r>
        <w:rPr>
          <w:rFonts w:eastAsia="黑体"/>
          <w:b w:val="0"/>
          <w:bCs w:val="0"/>
          <w:color w:val="auto"/>
          <w:sz w:val="32"/>
          <w:szCs w:val="32"/>
        </w:rPr>
        <w:t xml:space="preserve">    一、政策</w:t>
      </w:r>
      <w:r>
        <w:rPr>
          <w:rFonts w:hint="eastAsia" w:eastAsia="黑体"/>
          <w:b w:val="0"/>
          <w:bCs w:val="0"/>
          <w:color w:val="auto"/>
          <w:sz w:val="32"/>
          <w:szCs w:val="32"/>
        </w:rPr>
        <w:t>概况</w:t>
      </w:r>
    </w:p>
    <w:p>
      <w:pPr>
        <w:spacing w:line="600" w:lineRule="exact"/>
        <w:ind w:firstLine="630"/>
        <w:rPr>
          <w:rFonts w:hint="eastAsia" w:eastAsia="仿宋_GB2312"/>
          <w:color w:val="auto"/>
          <w:sz w:val="32"/>
          <w:szCs w:val="32"/>
          <w:lang w:eastAsia="zh-CN"/>
        </w:rPr>
      </w:pPr>
      <w:r>
        <w:rPr>
          <w:rFonts w:hint="eastAsia" w:ascii="仿宋_GB2312" w:eastAsia="仿宋_GB2312"/>
          <w:color w:val="auto"/>
          <w:sz w:val="32"/>
          <w:szCs w:val="32"/>
        </w:rPr>
        <w:t>绍兴市于2021年结合当地实际情况及省级相关文件要求，修订出台了《绍兴市人民政府办公室关于印发加快推进工业 经济高质量发展等五个政策的通知》（绍政办发〔2021〕29 号），其中明确了“加快科技创新若干政策”主要用于构建新型创新创业生态系统，加快国家创新型城市建设。</w:t>
      </w:r>
      <w:r>
        <w:rPr>
          <w:rFonts w:hint="eastAsia" w:eastAsia="仿宋_GB2312"/>
          <w:color w:val="auto"/>
          <w:sz w:val="32"/>
          <w:szCs w:val="32"/>
        </w:rPr>
        <w:t>2021年全市科技政策资金预算安排数6.85亿元，实际兑现数6.73亿元</w:t>
      </w:r>
      <w:r>
        <w:rPr>
          <w:rFonts w:hint="eastAsia" w:eastAsia="仿宋_GB2312"/>
          <w:color w:val="auto"/>
          <w:sz w:val="32"/>
          <w:szCs w:val="32"/>
          <w:lang w:eastAsia="zh-CN"/>
        </w:rPr>
        <w:t>。</w:t>
      </w:r>
    </w:p>
    <w:p>
      <w:pPr>
        <w:spacing w:line="600" w:lineRule="exact"/>
        <w:rPr>
          <w:rFonts w:hint="eastAsia" w:eastAsia="黑体"/>
          <w:b w:val="0"/>
          <w:bCs w:val="0"/>
          <w:color w:val="auto"/>
          <w:sz w:val="32"/>
          <w:szCs w:val="32"/>
          <w:lang w:eastAsia="zh-CN"/>
        </w:rPr>
      </w:pPr>
      <w:r>
        <w:rPr>
          <w:rFonts w:eastAsia="黑体"/>
          <w:b w:val="0"/>
          <w:bCs w:val="0"/>
          <w:color w:val="auto"/>
          <w:sz w:val="32"/>
          <w:szCs w:val="32"/>
        </w:rPr>
        <w:t xml:space="preserve">    二、</w:t>
      </w:r>
      <w:r>
        <w:rPr>
          <w:rFonts w:hint="eastAsia" w:eastAsia="黑体"/>
          <w:b w:val="0"/>
          <w:bCs w:val="0"/>
          <w:color w:val="auto"/>
          <w:sz w:val="32"/>
          <w:szCs w:val="32"/>
          <w:lang w:eastAsia="zh-CN"/>
        </w:rPr>
        <w:t>评价等级</w:t>
      </w:r>
    </w:p>
    <w:p>
      <w:pPr>
        <w:spacing w:line="600" w:lineRule="exact"/>
        <w:ind w:firstLine="640"/>
        <w:rPr>
          <w:rFonts w:hint="eastAsia" w:eastAsia="仿宋_GB2312"/>
          <w:color w:val="auto"/>
          <w:sz w:val="32"/>
          <w:szCs w:val="32"/>
        </w:rPr>
      </w:pPr>
      <w:r>
        <w:rPr>
          <w:rFonts w:hint="eastAsia" w:eastAsia="仿宋_GB2312"/>
          <w:color w:val="auto"/>
          <w:sz w:val="32"/>
          <w:szCs w:val="32"/>
        </w:rPr>
        <w:t>本次政策绩效评价按照“政策制定——政策执行——政策绩效”基本逻辑，分别从“经济性”、“效率性”、“有效性”三个维度进行评价。通过评价分析，绍兴市</w:t>
      </w:r>
      <w:r>
        <w:rPr>
          <w:rFonts w:hint="eastAsia" w:eastAsia="仿宋_GB2312"/>
          <w:color w:val="auto"/>
          <w:sz w:val="32"/>
          <w:szCs w:val="32"/>
          <w:lang w:eastAsia="zh-CN"/>
        </w:rPr>
        <w:t>科技</w:t>
      </w:r>
      <w:r>
        <w:rPr>
          <w:rFonts w:hint="eastAsia" w:eastAsia="仿宋_GB2312"/>
          <w:color w:val="auto"/>
          <w:sz w:val="32"/>
          <w:szCs w:val="32"/>
        </w:rPr>
        <w:t>政策绩效评价得分率为</w:t>
      </w:r>
      <w:r>
        <w:rPr>
          <w:rFonts w:hint="eastAsia" w:eastAsia="仿宋_GB2312"/>
          <w:color w:val="auto"/>
          <w:sz w:val="32"/>
          <w:szCs w:val="32"/>
          <w:lang w:val="en-US" w:eastAsia="zh-CN"/>
        </w:rPr>
        <w:t>88.4</w:t>
      </w:r>
      <w:r>
        <w:rPr>
          <w:rFonts w:hint="eastAsia" w:eastAsia="仿宋_GB2312"/>
          <w:color w:val="auto"/>
          <w:sz w:val="32"/>
          <w:szCs w:val="32"/>
        </w:rPr>
        <w:t>%，评价等级为：良。</w:t>
      </w:r>
    </w:p>
    <w:p>
      <w:pPr>
        <w:spacing w:line="600" w:lineRule="exact"/>
        <w:ind w:firstLine="640" w:firstLineChars="200"/>
        <w:rPr>
          <w:rFonts w:eastAsia="黑体"/>
          <w:b w:val="0"/>
          <w:bCs w:val="0"/>
          <w:color w:val="auto"/>
          <w:sz w:val="32"/>
          <w:szCs w:val="32"/>
        </w:rPr>
      </w:pPr>
      <w:r>
        <w:rPr>
          <w:rFonts w:hint="eastAsia" w:eastAsia="黑体"/>
          <w:b w:val="0"/>
          <w:bCs w:val="0"/>
          <w:color w:val="auto"/>
          <w:sz w:val="32"/>
          <w:szCs w:val="32"/>
        </w:rPr>
        <w:t>三、</w:t>
      </w:r>
      <w:r>
        <w:rPr>
          <w:rFonts w:eastAsia="黑体"/>
          <w:b w:val="0"/>
          <w:bCs w:val="0"/>
          <w:color w:val="auto"/>
          <w:sz w:val="32"/>
          <w:szCs w:val="32"/>
        </w:rPr>
        <w:t>主要问题</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（一） 政策核心绩效仍待提高。</w:t>
      </w:r>
    </w:p>
    <w:p>
      <w:pPr>
        <w:widowControl/>
        <w:ind w:firstLine="640" w:firstLineChars="200"/>
        <w:jc w:val="left"/>
        <w:rPr>
          <w:rFonts w:hint="eastAsia" w:eastAsia="仿宋_GB2312"/>
          <w:color w:val="auto"/>
          <w:kern w:val="0"/>
          <w:sz w:val="32"/>
          <w:szCs w:val="32"/>
        </w:rPr>
      </w:pPr>
      <w:r>
        <w:rPr>
          <w:rFonts w:hint="eastAsia" w:eastAsia="仿宋_GB2312"/>
          <w:bCs/>
          <w:color w:val="auto"/>
          <w:sz w:val="32"/>
          <w:szCs w:val="32"/>
        </w:rPr>
        <w:t>绍兴市高新技术产业增加值占规上工业增加值一项指标低于全省平均。对比各区县市该指标完成情况发现，现代纺织、金属加工等传统产业仍在全市产业结构中占据主导地位，其产品高新技术含量低，</w:t>
      </w:r>
      <w:r>
        <w:rPr>
          <w:rFonts w:eastAsia="仿宋_GB2312"/>
          <w:color w:val="auto"/>
          <w:sz w:val="32"/>
          <w:szCs w:val="32"/>
        </w:rPr>
        <w:t>无法计入高新技术产业增加值</w:t>
      </w:r>
      <w:r>
        <w:rPr>
          <w:rFonts w:hint="eastAsia" w:eastAsia="仿宋_GB2312"/>
          <w:color w:val="auto"/>
          <w:sz w:val="32"/>
          <w:szCs w:val="32"/>
          <w:lang w:eastAsia="zh-CN"/>
        </w:rPr>
        <w:t>；</w:t>
      </w:r>
      <w:r>
        <w:rPr>
          <w:rFonts w:hint="eastAsia" w:eastAsia="仿宋_GB2312"/>
          <w:color w:val="auto"/>
          <w:kern w:val="0"/>
          <w:sz w:val="32"/>
          <w:szCs w:val="32"/>
        </w:rPr>
        <w:t>2021年全市一般公共预算科技投入占全市一般公共预算支出全省排名第</w:t>
      </w:r>
      <w:r>
        <w:rPr>
          <w:rFonts w:hint="eastAsia" w:eastAsia="仿宋_GB2312"/>
          <w:color w:val="auto"/>
          <w:kern w:val="0"/>
          <w:sz w:val="32"/>
          <w:szCs w:val="32"/>
          <w:lang w:val="en-US" w:eastAsia="zh-CN"/>
        </w:rPr>
        <w:t>2</w:t>
      </w:r>
      <w:r>
        <w:rPr>
          <w:rFonts w:hint="eastAsia" w:eastAsia="仿宋_GB2312"/>
          <w:color w:val="auto"/>
          <w:kern w:val="0"/>
          <w:sz w:val="32"/>
          <w:szCs w:val="32"/>
        </w:rPr>
        <w:t>位，</w:t>
      </w:r>
      <w:r>
        <w:rPr>
          <w:rFonts w:hint="eastAsia" w:eastAsia="仿宋_GB2312"/>
          <w:color w:val="auto"/>
          <w:kern w:val="0"/>
          <w:sz w:val="32"/>
          <w:szCs w:val="32"/>
          <w:lang w:eastAsia="zh-CN"/>
        </w:rPr>
        <w:t>但</w:t>
      </w:r>
      <w:r>
        <w:rPr>
          <w:rFonts w:hint="eastAsia" w:eastAsia="仿宋_GB2312"/>
          <w:color w:val="auto"/>
          <w:kern w:val="0"/>
          <w:sz w:val="32"/>
          <w:szCs w:val="32"/>
        </w:rPr>
        <w:t>R&amp;D经费支出占GDP比重</w:t>
      </w:r>
      <w:r>
        <w:rPr>
          <w:rFonts w:hint="eastAsia" w:eastAsia="仿宋_GB2312"/>
          <w:color w:val="auto"/>
          <w:kern w:val="0"/>
          <w:sz w:val="32"/>
          <w:szCs w:val="32"/>
          <w:highlight w:val="none"/>
        </w:rPr>
        <w:t>居全省排名第</w:t>
      </w:r>
      <w:r>
        <w:rPr>
          <w:rFonts w:hint="eastAsia" w:eastAsia="仿宋_GB2312"/>
          <w:color w:val="auto"/>
          <w:kern w:val="0"/>
          <w:sz w:val="32"/>
          <w:szCs w:val="32"/>
          <w:highlight w:val="none"/>
          <w:lang w:val="en-US" w:eastAsia="zh-CN"/>
        </w:rPr>
        <w:t>5</w:t>
      </w:r>
      <w:r>
        <w:rPr>
          <w:rFonts w:hint="eastAsia" w:eastAsia="仿宋_GB2312"/>
          <w:color w:val="auto"/>
          <w:kern w:val="0"/>
          <w:sz w:val="32"/>
          <w:szCs w:val="32"/>
          <w:highlight w:val="none"/>
        </w:rPr>
        <w:t>位</w:t>
      </w:r>
      <w:r>
        <w:rPr>
          <w:rFonts w:hint="eastAsia" w:eastAsia="仿宋_GB2312"/>
          <w:color w:val="auto"/>
          <w:kern w:val="0"/>
          <w:sz w:val="32"/>
          <w:szCs w:val="32"/>
        </w:rPr>
        <w:t>。</w:t>
      </w:r>
      <w:r>
        <w:rPr>
          <w:rFonts w:hint="eastAsia" w:eastAsia="仿宋_GB2312"/>
          <w:color w:val="auto"/>
          <w:kern w:val="0"/>
          <w:sz w:val="32"/>
          <w:szCs w:val="32"/>
          <w:lang w:eastAsia="zh-CN"/>
        </w:rPr>
        <w:t>且</w:t>
      </w:r>
      <w:r>
        <w:rPr>
          <w:rFonts w:hint="eastAsia" w:eastAsia="仿宋_GB2312"/>
          <w:color w:val="auto"/>
          <w:kern w:val="0"/>
          <w:sz w:val="32"/>
          <w:szCs w:val="32"/>
        </w:rPr>
        <w:t>2020年、2021年该指标增速放缓，科技政策对引导企业加强研发投入的力度不够。</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（二）扶持类政策未能精准聚焦重点行业。</w:t>
      </w:r>
    </w:p>
    <w:p>
      <w:pPr>
        <w:spacing w:line="600" w:lineRule="exact"/>
        <w:ind w:firstLine="640"/>
        <w:rPr>
          <w:rFonts w:hint="eastAsia" w:eastAsia="仿宋_GB2312"/>
          <w:color w:val="auto"/>
          <w:sz w:val="32"/>
          <w:szCs w:val="32"/>
        </w:rPr>
      </w:pPr>
      <w:r>
        <w:rPr>
          <w:rFonts w:hint="eastAsia" w:ascii="Calibri" w:hAnsi="Calibri" w:eastAsia="仿宋_GB2312" w:cs="Calibri"/>
          <w:bCs/>
          <w:color w:val="auto"/>
          <w:sz w:val="32"/>
          <w:szCs w:val="32"/>
        </w:rPr>
        <w:t>珍珠行业规上企业研发投入</w:t>
      </w:r>
      <w:r>
        <w:rPr>
          <w:rFonts w:hint="eastAsia" w:ascii="Calibri" w:hAnsi="Calibri" w:eastAsia="仿宋_GB2312" w:cs="Calibri"/>
          <w:bCs/>
          <w:color w:val="auto"/>
          <w:sz w:val="32"/>
          <w:szCs w:val="32"/>
          <w:lang w:eastAsia="zh-CN"/>
        </w:rPr>
        <w:t>与</w:t>
      </w:r>
      <w:r>
        <w:rPr>
          <w:rFonts w:hint="eastAsia" w:ascii="Calibri" w:hAnsi="Calibri" w:eastAsia="仿宋_GB2312" w:cs="Calibri"/>
          <w:bCs/>
          <w:color w:val="auto"/>
          <w:sz w:val="32"/>
          <w:szCs w:val="32"/>
        </w:rPr>
        <w:t>新产品产值</w:t>
      </w:r>
      <w:r>
        <w:rPr>
          <w:rFonts w:hint="eastAsia" w:ascii="Calibri" w:hAnsi="Calibri" w:eastAsia="仿宋_GB2312" w:cs="Calibri"/>
          <w:bCs/>
          <w:color w:val="auto"/>
          <w:sz w:val="32"/>
          <w:szCs w:val="32"/>
          <w:lang w:eastAsia="zh-CN"/>
        </w:rPr>
        <w:t>俱低</w:t>
      </w:r>
      <w:r>
        <w:rPr>
          <w:rFonts w:hint="eastAsia" w:ascii="Calibri" w:hAnsi="Calibri" w:eastAsia="仿宋_GB2312" w:cs="Calibri"/>
          <w:bCs/>
          <w:color w:val="auto"/>
          <w:sz w:val="32"/>
          <w:szCs w:val="32"/>
        </w:rPr>
        <w:t>。2021年全市珍珠行业兑现资金</w:t>
      </w:r>
      <w:r>
        <w:rPr>
          <w:rFonts w:hint="eastAsia" w:ascii="Calibri" w:hAnsi="Calibri" w:eastAsia="仿宋_GB2312" w:cs="Calibri"/>
          <w:bCs/>
          <w:color w:val="auto"/>
          <w:sz w:val="32"/>
          <w:szCs w:val="32"/>
          <w:lang w:eastAsia="zh-CN"/>
        </w:rPr>
        <w:t>偏少</w:t>
      </w:r>
      <w:r>
        <w:rPr>
          <w:rFonts w:hint="eastAsia" w:ascii="Calibri" w:hAnsi="Calibri" w:eastAsia="仿宋_GB2312" w:cs="Calibri"/>
          <w:bCs/>
          <w:color w:val="auto"/>
          <w:sz w:val="32"/>
          <w:szCs w:val="32"/>
        </w:rPr>
        <w:t>，政策未能兼顾历史经典行业需求。</w:t>
      </w:r>
      <w:r>
        <w:rPr>
          <w:rFonts w:hint="eastAsia" w:eastAsia="仿宋_GB2312"/>
          <w:bCs/>
          <w:color w:val="auto"/>
          <w:sz w:val="32"/>
          <w:szCs w:val="32"/>
        </w:rPr>
        <w:t>扶持类政策不够精准，未能聚焦重点行业研发短板。</w:t>
      </w:r>
      <w:r>
        <w:rPr>
          <w:rFonts w:hint="eastAsia" w:ascii="Calibri" w:hAnsi="Calibri" w:eastAsia="仿宋_GB2312" w:cs="Calibri"/>
          <w:bCs/>
          <w:color w:val="auto"/>
          <w:sz w:val="32"/>
          <w:szCs w:val="32"/>
        </w:rPr>
        <w:t>政策在培育</w:t>
      </w:r>
      <w:r>
        <w:rPr>
          <w:rFonts w:hint="eastAsia" w:eastAsia="仿宋_GB2312"/>
          <w:bCs/>
          <w:color w:val="auto"/>
          <w:sz w:val="32"/>
          <w:szCs w:val="32"/>
        </w:rPr>
        <w:t>电子信息、新材料、金属加工、现代纺织和珍珠行业研发机构方面扶持力度不够。现代医药行业高端研发机构数量居各重点行业前列，但研发投入增速</w:t>
      </w:r>
      <w:r>
        <w:rPr>
          <w:rFonts w:hint="eastAsia" w:eastAsia="仿宋_GB2312"/>
          <w:bCs/>
          <w:color w:val="auto"/>
          <w:sz w:val="32"/>
          <w:szCs w:val="32"/>
          <w:lang w:eastAsia="zh-CN"/>
        </w:rPr>
        <w:t>低</w:t>
      </w:r>
      <w:r>
        <w:rPr>
          <w:rFonts w:hint="eastAsia" w:eastAsia="仿宋_GB2312"/>
          <w:bCs/>
          <w:color w:val="auto"/>
          <w:sz w:val="32"/>
          <w:szCs w:val="32"/>
        </w:rPr>
        <w:t>，新产品产值增速</w:t>
      </w:r>
      <w:r>
        <w:rPr>
          <w:rFonts w:hint="eastAsia" w:eastAsia="仿宋_GB2312"/>
          <w:bCs/>
          <w:color w:val="auto"/>
          <w:sz w:val="32"/>
          <w:szCs w:val="32"/>
          <w:lang w:eastAsia="zh-CN"/>
        </w:rPr>
        <w:t>低</w:t>
      </w:r>
      <w:r>
        <w:rPr>
          <w:rFonts w:hint="eastAsia" w:eastAsia="仿宋_GB2312"/>
          <w:bCs/>
          <w:color w:val="auto"/>
          <w:sz w:val="32"/>
          <w:szCs w:val="32"/>
        </w:rPr>
        <w:t>，产品仍以小品种药为主。政策缺乏引导医药研发机构开发创新药、高端药的有效措施。</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（三）政策结构有待完善。</w:t>
      </w:r>
    </w:p>
    <w:p>
      <w:pPr>
        <w:widowControl/>
        <w:ind w:firstLine="640" w:firstLineChars="200"/>
        <w:jc w:val="left"/>
        <w:rPr>
          <w:rFonts w:hint="eastAsia" w:eastAsia="仿宋_GB2312"/>
          <w:color w:val="auto"/>
          <w:kern w:val="0"/>
          <w:sz w:val="32"/>
          <w:szCs w:val="32"/>
        </w:rPr>
      </w:pPr>
      <w:r>
        <w:rPr>
          <w:rFonts w:hint="eastAsia" w:eastAsia="仿宋_GB2312"/>
          <w:bCs/>
          <w:color w:val="auto"/>
          <w:sz w:val="32"/>
          <w:szCs w:val="32"/>
        </w:rPr>
        <w:t>2021年全市科技政策资金中，</w:t>
      </w:r>
      <w:r>
        <w:rPr>
          <w:rFonts w:hint="eastAsia" w:eastAsia="仿宋_GB2312"/>
          <w:color w:val="auto"/>
          <w:sz w:val="32"/>
          <w:szCs w:val="32"/>
        </w:rPr>
        <w:t>培育创新主体</w:t>
      </w:r>
      <w:r>
        <w:rPr>
          <w:rFonts w:hint="eastAsia" w:eastAsia="仿宋_GB2312"/>
          <w:color w:val="auto"/>
          <w:sz w:val="32"/>
          <w:szCs w:val="32"/>
          <w:lang w:eastAsia="zh-CN"/>
        </w:rPr>
        <w:t>个数</w:t>
      </w:r>
      <w:r>
        <w:rPr>
          <w:rFonts w:hint="eastAsia" w:eastAsia="仿宋_GB2312"/>
          <w:color w:val="auto"/>
          <w:sz w:val="32"/>
          <w:szCs w:val="32"/>
        </w:rPr>
        <w:t>增量不及上年。</w:t>
      </w:r>
      <w:r>
        <w:rPr>
          <w:rFonts w:hint="eastAsia" w:eastAsia="仿宋_GB2312"/>
          <w:color w:val="auto"/>
          <w:kern w:val="0"/>
          <w:sz w:val="32"/>
          <w:szCs w:val="32"/>
        </w:rPr>
        <w:t>高新技术企业数量增速放缓。2020至2021两年全市科技型中小企业</w:t>
      </w:r>
      <w:r>
        <w:rPr>
          <w:rFonts w:hint="eastAsia" w:eastAsia="仿宋_GB2312"/>
          <w:color w:val="auto"/>
          <w:kern w:val="0"/>
          <w:sz w:val="32"/>
          <w:szCs w:val="32"/>
          <w:lang w:eastAsia="zh-CN"/>
        </w:rPr>
        <w:t>有所</w:t>
      </w:r>
      <w:r>
        <w:rPr>
          <w:rFonts w:hint="eastAsia" w:eastAsia="仿宋_GB2312"/>
          <w:color w:val="auto"/>
          <w:kern w:val="0"/>
          <w:sz w:val="32"/>
          <w:szCs w:val="32"/>
        </w:rPr>
        <w:t>流失。2021年全市新增省级创新型领军企业较上年减少。政策在引导创新要素集聚方面的方式比较单一，完善科创金融体系和科技市场体系的成果不显著。绍兴现有科技市场体系以在各区县市科技大市场为主，市场分散单一，集中度不高，对促成技术交易作用不明显。知识产权政策过于注重“专利授权”，忽略“示范引领”。</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（四）行业上市公司培育成果不显著。</w:t>
      </w:r>
    </w:p>
    <w:p>
      <w:pPr>
        <w:widowControl/>
        <w:ind w:firstLine="640" w:firstLineChars="200"/>
        <w:jc w:val="left"/>
        <w:rPr>
          <w:rFonts w:hint="eastAsia" w:eastAsia="仿宋_GB2312"/>
          <w:color w:val="auto"/>
          <w:sz w:val="32"/>
          <w:szCs w:val="32"/>
        </w:rPr>
      </w:pPr>
      <w:r>
        <w:rPr>
          <w:rFonts w:hint="eastAsia" w:eastAsia="仿宋_GB2312"/>
          <w:color w:val="auto"/>
          <w:kern w:val="0"/>
          <w:sz w:val="32"/>
          <w:szCs w:val="32"/>
        </w:rPr>
        <w:t>截至2021年末，全市尚未成功培育企业在科创板上市。主要原因：</w:t>
      </w:r>
      <w:r>
        <w:rPr>
          <w:rFonts w:hint="eastAsia" w:eastAsia="仿宋_GB2312"/>
          <w:color w:val="auto"/>
          <w:sz w:val="32"/>
          <w:szCs w:val="32"/>
        </w:rPr>
        <w:t>一是</w:t>
      </w:r>
      <w:r>
        <w:rPr>
          <w:rFonts w:hint="eastAsia" w:eastAsia="仿宋_GB2312"/>
          <w:color w:val="auto"/>
          <w:kern w:val="0"/>
          <w:sz w:val="32"/>
          <w:szCs w:val="32"/>
        </w:rPr>
        <w:t>扶持类政策资金较分散，未能精准聚焦行业龙头企业，除越城区外，其余区县市流入重点企业的资金占比低。二是缺少引导科技创新企业在科创板上市的专项政策。</w:t>
      </w:r>
    </w:p>
    <w:p>
      <w:pPr>
        <w:spacing w:line="600" w:lineRule="exact"/>
        <w:ind w:firstLine="642" w:firstLineChars="200"/>
        <w:rPr>
          <w:rFonts w:hint="eastAsia" w:eastAsia="黑体"/>
          <w:b/>
          <w:bCs/>
          <w:color w:val="auto"/>
          <w:sz w:val="32"/>
          <w:szCs w:val="32"/>
        </w:rPr>
      </w:pPr>
      <w:r>
        <w:rPr>
          <w:rFonts w:hint="eastAsia" w:eastAsia="黑体"/>
          <w:b/>
          <w:bCs/>
          <w:color w:val="auto"/>
          <w:sz w:val="32"/>
          <w:szCs w:val="32"/>
        </w:rPr>
        <w:t>四</w:t>
      </w:r>
      <w:r>
        <w:rPr>
          <w:rFonts w:eastAsia="黑体"/>
          <w:b/>
          <w:bCs/>
          <w:color w:val="auto"/>
          <w:sz w:val="32"/>
          <w:szCs w:val="32"/>
        </w:rPr>
        <w:t>、</w:t>
      </w:r>
      <w:r>
        <w:rPr>
          <w:rFonts w:hint="eastAsia" w:eastAsia="黑体"/>
          <w:b/>
          <w:bCs/>
          <w:color w:val="auto"/>
          <w:sz w:val="32"/>
          <w:szCs w:val="32"/>
        </w:rPr>
        <w:t>对策</w:t>
      </w:r>
      <w:r>
        <w:rPr>
          <w:rFonts w:eastAsia="黑体"/>
          <w:b/>
          <w:bCs/>
          <w:color w:val="auto"/>
          <w:sz w:val="32"/>
          <w:szCs w:val="32"/>
        </w:rPr>
        <w:t>建议</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（一）进一步提高政策核心绩效。</w:t>
      </w:r>
    </w:p>
    <w:p>
      <w:pPr>
        <w:spacing w:line="600" w:lineRule="exact"/>
        <w:ind w:firstLine="620" w:firstLineChars="200"/>
        <w:rPr>
          <w:rFonts w:hint="eastAsia" w:ascii="仿宋_GB2312" w:hAnsi="宋体" w:eastAsia="仿宋_GB2312" w:cs="仿宋_GB2312"/>
          <w:color w:val="auto"/>
          <w:kern w:val="0"/>
          <w:sz w:val="31"/>
          <w:szCs w:val="31"/>
          <w:lang w:bidi="ar"/>
        </w:rPr>
      </w:pPr>
      <w:r>
        <w:rPr>
          <w:rFonts w:hint="eastAsia" w:ascii="仿宋_GB2312" w:hAnsi="宋体" w:eastAsia="仿宋_GB2312" w:cs="仿宋_GB2312"/>
          <w:color w:val="auto"/>
          <w:kern w:val="0"/>
          <w:sz w:val="31"/>
          <w:szCs w:val="31"/>
          <w:lang w:bidi="ar"/>
        </w:rPr>
        <w:t>加大“推动创新联合体”政策的扶持力度，鼓励优势企业牵头联合产业链上下游企业建设协同创新共同体，并给予产业链协同创新共同体的产业链领航企业、关键环节协同企业一定金额的奖励。针对“鼓励企业加大研发投入”政策，需科技部门与税务部门、统计部门进一步加强沟通协作，制定较合理的审批流程及受益主体认定方式，且形成书面化的操作说明，明确各自权责关系，确保政策兑现工作的顺利推进。</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（二）提高扶持类政策差异化。</w:t>
      </w:r>
    </w:p>
    <w:p>
      <w:pPr>
        <w:spacing w:line="600" w:lineRule="exact"/>
        <w:ind w:firstLine="620" w:firstLineChars="200"/>
        <w:rPr>
          <w:rFonts w:hint="eastAsia" w:ascii="仿宋_GB2312" w:hAnsi="宋体" w:eastAsia="仿宋_GB2312" w:cs="仿宋_GB2312"/>
          <w:color w:val="auto"/>
          <w:kern w:val="0"/>
          <w:sz w:val="31"/>
          <w:szCs w:val="31"/>
          <w:lang w:bidi="ar"/>
        </w:rPr>
      </w:pPr>
      <w:r>
        <w:rPr>
          <w:rFonts w:hint="eastAsia" w:ascii="仿宋_GB2312" w:hAnsi="宋体" w:eastAsia="仿宋_GB2312" w:cs="仿宋_GB2312"/>
          <w:color w:val="auto"/>
          <w:kern w:val="0"/>
          <w:sz w:val="31"/>
          <w:szCs w:val="31"/>
          <w:lang w:bidi="ar"/>
        </w:rPr>
        <w:t>市级科技部门在特色产业方面出台引领性政策，由各区县市根据其产业结构和特色产业发展情况进行细化，确保政策能够兼顾特色产业，提升特色产业科技含量。加强政策制定前期调研，针对重点行业研发现状，差异化出台政策，提高政策精准性。</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（三）进一步完善政策结构。</w:t>
      </w:r>
    </w:p>
    <w:p>
      <w:pPr>
        <w:spacing w:line="600" w:lineRule="exact"/>
        <w:ind w:firstLine="620" w:firstLineChars="200"/>
        <w:rPr>
          <w:rFonts w:hint="eastAsia" w:ascii="仿宋_GB2312" w:hAnsi="宋体" w:eastAsia="仿宋_GB2312" w:cs="仿宋_GB2312"/>
          <w:color w:val="auto"/>
          <w:kern w:val="0"/>
          <w:sz w:val="31"/>
          <w:szCs w:val="31"/>
          <w:lang w:bidi="ar"/>
        </w:rPr>
      </w:pPr>
      <w:r>
        <w:rPr>
          <w:rFonts w:hint="eastAsia" w:ascii="仿宋_GB2312" w:hAnsi="宋体" w:eastAsia="仿宋_GB2312" w:cs="仿宋_GB2312"/>
          <w:color w:val="auto"/>
          <w:kern w:val="0"/>
          <w:sz w:val="31"/>
          <w:szCs w:val="31"/>
          <w:lang w:bidi="ar"/>
        </w:rPr>
        <w:t>进一步完善创新企业培育体系，健全创新企业长效激励机制，构建“科技型中小企业-高新技术企业-创新型领军企业”多层次的创新企业梯队。进一步加强上下游政策协同性，丰富引导创新要素集聚的政策体系。同时，可以政策引导科技企业孵化器利用自有资金设立种子资金，资助在孵企业。</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 xml:space="preserve"> （四）加强行业龙头企业培育力度。</w:t>
      </w:r>
    </w:p>
    <w:p>
      <w:pPr>
        <w:spacing w:line="600" w:lineRule="exact"/>
        <w:ind w:firstLine="620" w:firstLineChars="200"/>
        <w:rPr>
          <w:rFonts w:hint="eastAsia" w:ascii="仿宋_GB2312" w:hAnsi="宋体" w:eastAsia="仿宋_GB2312" w:cs="仿宋_GB2312"/>
          <w:color w:val="auto"/>
          <w:kern w:val="0"/>
          <w:sz w:val="31"/>
          <w:szCs w:val="31"/>
          <w:lang w:bidi="ar"/>
        </w:rPr>
      </w:pPr>
      <w:r>
        <w:rPr>
          <w:rFonts w:hint="eastAsia" w:ascii="仿宋_GB2312" w:hAnsi="宋体" w:eastAsia="仿宋_GB2312" w:cs="仿宋_GB2312"/>
          <w:color w:val="auto"/>
          <w:kern w:val="0"/>
          <w:sz w:val="31"/>
          <w:szCs w:val="31"/>
          <w:lang w:bidi="ar"/>
        </w:rPr>
        <w:t>市科技部门进一步提高扶持类政策精准性，聚焦行业重点企业，加强行业龙头企业培育力度。针对全市无科创板上市企业现状，可借鉴宁波等地政策，协同金融部门建立全市科创板拟上市企业储备库，精准对接科创板拟上市企业，依据企业规模、创新能力和成长性等指标，给予适当政策资金扶持，专项用于科技创新和产品创新。</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1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94E22"/>
    <w:multiLevelType w:val="singleLevel"/>
    <w:tmpl w:val="43194E22"/>
    <w:lvl w:ilvl="0" w:tentative="0">
      <w:start w:val="1"/>
      <w:numFmt w:val="chineseCounting"/>
      <w:pStyle w:val="2"/>
      <w:suff w:val="nothing"/>
      <w:lvlText w:val="%1、"/>
      <w:lvlJc w:val="left"/>
      <w:pPr>
        <w:ind w:left="6"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5F8318"/>
    <w:rsid w:val="1E7F09FE"/>
    <w:rsid w:val="5FDB5E69"/>
    <w:rsid w:val="7FFF01E0"/>
    <w:rsid w:val="BBA75C45"/>
    <w:rsid w:val="F35F83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rFonts w:ascii="Times New Roman" w:hAnsi="Times New Roman" w:eastAsia="宋体" w:cs="Times New Roman"/>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character" w:styleId="8">
    <w:name w:val="footnote reference"/>
    <w:basedOn w:val="7"/>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2022-11-19T00:57:00Z</dcterms:created>
  <dc:creator>sxszf</dc:creator>
  <cp:lastModifiedBy>sxszf</cp:lastModifiedBy>
  <dcterms:modified xsi:type="dcterms:W3CDTF">2022-11-29T09:45:22Z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