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lang w:val="en-US" w:eastAsia="zh-CN"/>
        </w:rPr>
      </w:pPr>
      <w:bookmarkStart w:id="0" w:name="_Toc13845"/>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黑体" w:hAnsi="黑体" w:eastAsia="黑体" w:cs="黑体"/>
          <w:sz w:val="44"/>
          <w:szCs w:val="44"/>
          <w:lang w:val="en-US" w:eastAsia="zh-CN"/>
        </w:rPr>
      </w:pPr>
      <w:r>
        <w:rPr>
          <w:rFonts w:hint="default" w:ascii="黑体" w:hAnsi="黑体" w:eastAsia="黑体" w:cs="黑体"/>
          <w:sz w:val="44"/>
          <w:szCs w:val="44"/>
          <w:lang w:val="en-US" w:eastAsia="zh-CN"/>
        </w:rPr>
        <w:t>绍兴市2021年度“1+9”政策绩效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黑体" w:hAnsi="黑体" w:eastAsia="黑体" w:cs="黑体"/>
          <w:sz w:val="44"/>
          <w:szCs w:val="44"/>
          <w:lang w:val="en-US" w:eastAsia="zh-CN"/>
        </w:rPr>
      </w:pPr>
      <w:bookmarkStart w:id="9" w:name="_GoBack"/>
      <w:bookmarkEnd w:id="9"/>
      <w:r>
        <w:rPr>
          <w:rFonts w:hint="default" w:ascii="黑体" w:hAnsi="黑体" w:eastAsia="黑体" w:cs="黑体"/>
          <w:sz w:val="44"/>
          <w:szCs w:val="44"/>
          <w:lang w:val="en-US" w:eastAsia="zh-CN"/>
        </w:rPr>
        <w:t>评价报告—文化</w:t>
      </w:r>
      <w:r>
        <w:rPr>
          <w:rFonts w:hint="eastAsia" w:ascii="黑体" w:hAnsi="黑体" w:eastAsia="黑体" w:cs="黑体"/>
          <w:sz w:val="44"/>
          <w:szCs w:val="44"/>
          <w:lang w:val="en-US" w:eastAsia="zh-CN"/>
        </w:rPr>
        <w:t>专项</w:t>
      </w:r>
      <w:r>
        <w:rPr>
          <w:rFonts w:hint="default" w:ascii="黑体" w:hAnsi="黑体" w:eastAsia="黑体" w:cs="黑体"/>
          <w:sz w:val="44"/>
          <w:szCs w:val="44"/>
          <w:lang w:val="en-US" w:eastAsia="zh-CN"/>
        </w:rPr>
        <w:t>政策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一、政策基本情况</w:t>
      </w:r>
      <w:bookmarkEnd w:id="0"/>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2021年8月，市委市政府</w:t>
      </w:r>
      <w:r>
        <w:rPr>
          <w:rFonts w:hint="eastAsia" w:ascii="Times New Roman" w:hAnsi="Times New Roman" w:eastAsia="仿宋_GB2312" w:cs="Times New Roman"/>
          <w:sz w:val="32"/>
          <w:szCs w:val="32"/>
          <w:lang w:val="en-US" w:eastAsia="zh-CN"/>
        </w:rPr>
        <w:t>印发</w:t>
      </w:r>
      <w:r>
        <w:rPr>
          <w:rFonts w:hint="default" w:ascii="Times New Roman" w:hAnsi="Times New Roman" w:eastAsia="仿宋_GB2312" w:cs="Times New Roman"/>
          <w:sz w:val="32"/>
          <w:szCs w:val="32"/>
          <w:lang w:val="en-US" w:eastAsia="zh-CN"/>
        </w:rPr>
        <w:t>《关于促进文化产业发展的若干政策》（绍市委办发〔2021〕39号）。2021年文化政策共计17条，与2020年政策相比保留16条，新增1条</w:t>
      </w:r>
      <w:r>
        <w:rPr>
          <w:rFonts w:hint="eastAsia" w:ascii="Times New Roman" w:hAnsi="Times New Roman" w:eastAsia="仿宋_GB2312" w:cs="Times New Roman"/>
          <w:sz w:val="32"/>
          <w:szCs w:val="32"/>
          <w:lang w:val="en-US" w:eastAsia="zh-CN"/>
        </w:rPr>
        <w:t>“鼓励数字文化产业发展”子政策</w:t>
      </w:r>
      <w:r>
        <w:rPr>
          <w:rFonts w:hint="default" w:ascii="Times New Roman" w:hAnsi="Times New Roman" w:eastAsia="仿宋_GB2312" w:cs="Times New Roman"/>
          <w:sz w:val="32"/>
          <w:szCs w:val="32"/>
          <w:lang w:val="en-US" w:eastAsia="zh-CN"/>
        </w:rPr>
        <w:t>。全市2021年度共安排预算资金</w:t>
      </w:r>
      <w:r>
        <w:rPr>
          <w:rFonts w:hint="default" w:ascii="Times New Roman" w:hAnsi="Times New Roman" w:eastAsia="仿宋_GB2312" w:cs="Times New Roman"/>
          <w:sz w:val="32"/>
          <w:szCs w:val="32"/>
          <w:highlight w:val="none"/>
          <w:lang w:val="en-US" w:eastAsia="zh-CN"/>
        </w:rPr>
        <w:t>4895.95万元</w:t>
      </w:r>
      <w:r>
        <w:rPr>
          <w:rFonts w:hint="default" w:ascii="Times New Roman" w:hAnsi="Times New Roman" w:eastAsia="仿宋_GB2312" w:cs="Times New Roman"/>
          <w:sz w:val="32"/>
          <w:szCs w:val="32"/>
          <w:lang w:val="en-US" w:eastAsia="zh-CN"/>
        </w:rPr>
        <w:t>，实际兑现4711.63万元，资金执行率为</w:t>
      </w:r>
      <w:r>
        <w:rPr>
          <w:rFonts w:hint="default" w:ascii="Times New Roman" w:hAnsi="Times New Roman" w:eastAsia="仿宋_GB2312" w:cs="Times New Roman"/>
          <w:sz w:val="32"/>
          <w:szCs w:val="32"/>
          <w:highlight w:val="none"/>
          <w:lang w:val="en-US" w:eastAsia="zh-CN"/>
        </w:rPr>
        <w:t>96.2%</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default" w:ascii="Times New Roman" w:hAnsi="Times New Roman" w:eastAsia="黑体" w:cs="Times New Roman"/>
          <w:sz w:val="32"/>
          <w:szCs w:val="32"/>
          <w:lang w:val="en-US" w:eastAsia="zh-CN"/>
        </w:rPr>
      </w:pPr>
      <w:bookmarkStart w:id="1" w:name="_Toc7657"/>
      <w:r>
        <w:rPr>
          <w:rFonts w:hint="default" w:ascii="Times New Roman" w:hAnsi="Times New Roman" w:eastAsia="黑体" w:cs="Times New Roman"/>
          <w:sz w:val="32"/>
          <w:szCs w:val="32"/>
          <w:lang w:val="en-US" w:eastAsia="zh-CN"/>
        </w:rPr>
        <w:t>二、政策</w:t>
      </w:r>
      <w:bookmarkEnd w:id="1"/>
      <w:bookmarkStart w:id="2" w:name="_Toc23891"/>
      <w:r>
        <w:rPr>
          <w:rFonts w:hint="default" w:ascii="Times New Roman" w:hAnsi="Times New Roman" w:eastAsia="黑体" w:cs="Times New Roman"/>
          <w:sz w:val="32"/>
          <w:szCs w:val="32"/>
          <w:lang w:val="en-US" w:eastAsia="zh-CN"/>
        </w:rPr>
        <w:t>评价结论</w:t>
      </w:r>
      <w:bookmarkEnd w:id="2"/>
    </w:p>
    <w:p>
      <w:pPr>
        <w:pStyle w:val="16"/>
        <w:keepNext w:val="0"/>
        <w:keepLines w:val="0"/>
        <w:pageBreakBefore w:val="0"/>
        <w:widowControl w:val="0"/>
        <w:kinsoku/>
        <w:wordWrap/>
        <w:overflowPunct/>
        <w:topLinePunct w:val="0"/>
        <w:autoSpaceDE/>
        <w:autoSpaceDN/>
        <w:bidi w:val="0"/>
        <w:snapToGrid/>
        <w:spacing w:line="600" w:lineRule="exact"/>
        <w:ind w:firstLine="640" w:firstLineChars="200"/>
        <w:textAlignment w:val="auto"/>
        <w:rPr>
          <w:rFonts w:hint="default" w:ascii="Times New Roman" w:hAnsi="Times New Roman" w:cs="Times New Roman"/>
          <w:highlight w:val="none"/>
          <w:lang w:val="en-US" w:eastAsia="zh-CN"/>
        </w:rPr>
      </w:pPr>
      <w:r>
        <w:rPr>
          <w:rFonts w:hint="eastAsia" w:ascii="Times New Roman" w:hAnsi="Times New Roman" w:eastAsia="仿宋_GB2312" w:cs="Times New Roman"/>
          <w:color w:val="auto"/>
          <w:sz w:val="32"/>
          <w:szCs w:val="32"/>
          <w:highlight w:val="none"/>
          <w:lang w:val="en-US" w:eastAsia="zh-CN"/>
        </w:rPr>
        <w:t>本次评价按照“政策制定——政策执行——政策绩效”基本逻辑，分别从“经济性”、“效率性”、“有效性”三个维度进行评价。</w:t>
      </w:r>
      <w:r>
        <w:rPr>
          <w:rFonts w:hint="default" w:ascii="Times New Roman" w:hAnsi="Times New Roman" w:eastAsia="仿宋_GB2312" w:cs="Times New Roman"/>
          <w:color w:val="auto"/>
          <w:sz w:val="32"/>
          <w:szCs w:val="32"/>
          <w:highlight w:val="none"/>
          <w:lang w:val="en-US" w:eastAsia="zh-CN"/>
        </w:rPr>
        <w:t>经评价，</w:t>
      </w:r>
      <w:r>
        <w:rPr>
          <w:rFonts w:hint="eastAsia" w:ascii="Times New Roman" w:hAnsi="Times New Roman" w:eastAsia="仿宋_GB2312" w:cs="Times New Roman"/>
          <w:color w:val="auto"/>
          <w:sz w:val="32"/>
          <w:szCs w:val="32"/>
          <w:highlight w:val="none"/>
          <w:lang w:val="en-US" w:eastAsia="zh-CN"/>
        </w:rPr>
        <w:t>2021年绍兴市文化</w:t>
      </w:r>
      <w:r>
        <w:rPr>
          <w:rFonts w:hint="default" w:ascii="Times New Roman" w:hAnsi="Times New Roman" w:eastAsia="仿宋_GB2312" w:cs="Times New Roman"/>
          <w:color w:val="auto"/>
          <w:sz w:val="32"/>
          <w:szCs w:val="32"/>
          <w:highlight w:val="none"/>
          <w:lang w:val="en-US" w:eastAsia="zh-CN"/>
        </w:rPr>
        <w:t>政策</w:t>
      </w:r>
      <w:r>
        <w:rPr>
          <w:rFonts w:hint="default" w:ascii="Times New Roman" w:hAnsi="Times New Roman" w:eastAsia="仿宋_GB2312" w:cs="Times New Roman"/>
          <w:b/>
          <w:bCs/>
          <w:color w:val="auto"/>
          <w:sz w:val="32"/>
          <w:szCs w:val="32"/>
          <w:highlight w:val="none"/>
          <w:lang w:val="en-US" w:eastAsia="zh-CN"/>
        </w:rPr>
        <w:t>得分率为91.8%，评价等级为“</w:t>
      </w:r>
      <w:r>
        <w:rPr>
          <w:rFonts w:hint="eastAsia" w:eastAsia="仿宋_GB2312" w:cs="Times New Roman"/>
          <w:b/>
          <w:bCs/>
          <w:color w:val="auto"/>
          <w:sz w:val="32"/>
          <w:szCs w:val="32"/>
          <w:highlight w:val="none"/>
          <w:lang w:val="en-US" w:eastAsia="zh-CN"/>
        </w:rPr>
        <w:t>优</w:t>
      </w:r>
      <w:r>
        <w:rPr>
          <w:rStyle w:val="15"/>
          <w:rFonts w:eastAsia="仿宋_GB2312"/>
          <w:b/>
          <w:bCs/>
          <w:kern w:val="0"/>
          <w:sz w:val="32"/>
          <w:szCs w:val="32"/>
        </w:rPr>
        <w:footnoteReference w:id="0"/>
      </w:r>
      <w:r>
        <w:rPr>
          <w:rFonts w:hint="default" w:ascii="Times New Roman" w:hAnsi="Times New Roman" w:eastAsia="仿宋_GB2312" w:cs="Times New Roman"/>
          <w:b/>
          <w:bCs/>
          <w:color w:val="auto"/>
          <w:sz w:val="32"/>
          <w:szCs w:val="32"/>
          <w:highlight w:val="none"/>
          <w:lang w:val="en-US" w:eastAsia="zh-CN"/>
        </w:rPr>
        <w:t>”</w:t>
      </w:r>
      <w:r>
        <w:rPr>
          <w:rFonts w:hint="eastAsia" w:eastAsia="仿宋_GB2312"/>
          <w:b w:val="0"/>
          <w:bCs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default" w:ascii="Times New Roman" w:hAnsi="Times New Roman" w:eastAsia="黑体" w:cs="Times New Roman"/>
          <w:sz w:val="32"/>
          <w:szCs w:val="32"/>
          <w:lang w:val="en-US" w:eastAsia="zh-CN"/>
        </w:rPr>
      </w:pPr>
      <w:bookmarkStart w:id="3" w:name="_Toc25363"/>
      <w:r>
        <w:rPr>
          <w:rFonts w:hint="default" w:ascii="Times New Roman" w:hAnsi="Times New Roman" w:eastAsia="黑体" w:cs="Times New Roman"/>
          <w:sz w:val="32"/>
          <w:szCs w:val="32"/>
          <w:lang w:val="en-US" w:eastAsia="zh-CN"/>
        </w:rPr>
        <w:t>三、主要问题</w:t>
      </w:r>
      <w:bookmarkEnd w:id="3"/>
    </w:p>
    <w:p>
      <w:pPr>
        <w:pStyle w:val="3"/>
        <w:pageBreakBefore w:val="0"/>
        <w:widowControl w:val="0"/>
        <w:kinsoku/>
        <w:wordWrap/>
        <w:overflowPunct/>
        <w:topLinePunct w:val="0"/>
        <w:autoSpaceDE/>
        <w:autoSpaceDN/>
        <w:bidi w:val="0"/>
        <w:adjustRightInd w:val="0"/>
        <w:snapToGrid w:val="0"/>
        <w:spacing w:before="0" w:after="0" w:line="600" w:lineRule="exact"/>
        <w:ind w:firstLine="642" w:firstLineChars="200"/>
        <w:textAlignment w:val="auto"/>
        <w:rPr>
          <w:rFonts w:hint="default" w:ascii="Times New Roman" w:hAnsi="Times New Roman" w:eastAsia="楷体_GB2312" w:cs="Times New Roman"/>
          <w:b/>
          <w:bCs w:val="0"/>
          <w:color w:val="auto"/>
          <w:lang w:val="en-US" w:eastAsia="zh-CN"/>
        </w:rPr>
      </w:pPr>
      <w:bookmarkStart w:id="4" w:name="_Toc26073"/>
      <w:r>
        <w:rPr>
          <w:rFonts w:hint="default" w:ascii="Times New Roman" w:hAnsi="Times New Roman" w:eastAsia="楷体_GB2312" w:cs="Times New Roman"/>
          <w:b/>
          <w:bCs w:val="0"/>
          <w:color w:val="auto"/>
          <w:lang w:val="en-US" w:eastAsia="zh-CN"/>
        </w:rPr>
        <w:t>（一）文化产业整体发展水平有待提升</w:t>
      </w:r>
      <w:r>
        <w:rPr>
          <w:rFonts w:hint="eastAsia" w:ascii="Times New Roman" w:hAnsi="Times New Roman" w:eastAsia="楷体_GB2312" w:cs="Times New Roman"/>
          <w:b/>
          <w:bCs w:val="0"/>
          <w:color w:va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仿宋_GB2312" w:cs="Times New Roman"/>
          <w:b w:val="0"/>
          <w:bCs w:val="0"/>
          <w:color w:val="auto"/>
          <w:sz w:val="32"/>
          <w:szCs w:val="32"/>
          <w:highlight w:val="none"/>
          <w:shd w:val="clear" w:color="auto" w:fill="auto"/>
          <w:lang w:val="en-US" w:eastAsia="zh-CN"/>
        </w:rPr>
      </w:pPr>
      <w:r>
        <w:rPr>
          <w:rFonts w:hint="default" w:ascii="Times New Roman" w:hAnsi="Times New Roman" w:eastAsia="仿宋_GB2312" w:cs="Times New Roman"/>
          <w:b w:val="0"/>
          <w:bCs w:val="0"/>
          <w:color w:val="auto"/>
          <w:sz w:val="32"/>
          <w:szCs w:val="32"/>
          <w:highlight w:val="none"/>
          <w:shd w:val="clear" w:color="auto" w:fill="auto"/>
          <w:lang w:val="en-US" w:eastAsia="zh-CN"/>
        </w:rPr>
        <w:t>一是绍兴市与全省第一方阵仍有差距。二是个别区（县、市）文化产业发展投入产出效率偏低。存在投入产出不平衡、效率偏低的情况。</w:t>
      </w:r>
    </w:p>
    <w:p>
      <w:pPr>
        <w:pStyle w:val="3"/>
        <w:pageBreakBefore w:val="0"/>
        <w:widowControl w:val="0"/>
        <w:kinsoku/>
        <w:wordWrap/>
        <w:overflowPunct/>
        <w:topLinePunct w:val="0"/>
        <w:autoSpaceDE/>
        <w:autoSpaceDN/>
        <w:bidi w:val="0"/>
        <w:adjustRightInd w:val="0"/>
        <w:snapToGrid w:val="0"/>
        <w:spacing w:before="0" w:after="0" w:line="600" w:lineRule="exact"/>
        <w:ind w:firstLine="642" w:firstLineChars="200"/>
        <w:textAlignment w:val="auto"/>
        <w:rPr>
          <w:rFonts w:hint="default" w:ascii="Times New Roman" w:hAnsi="Times New Roman" w:eastAsia="楷体_GB2312" w:cs="Times New Roman"/>
          <w:b/>
          <w:bCs w:val="0"/>
          <w:color w:val="auto"/>
          <w:lang w:val="en-US" w:eastAsia="zh-CN"/>
        </w:rPr>
      </w:pPr>
      <w:r>
        <w:rPr>
          <w:rFonts w:hint="default" w:ascii="Times New Roman" w:hAnsi="Times New Roman" w:eastAsia="楷体_GB2312" w:cs="Times New Roman"/>
          <w:b/>
          <w:bCs w:val="0"/>
          <w:color w:val="auto"/>
          <w:lang w:val="en-US" w:eastAsia="zh-CN"/>
        </w:rPr>
        <w:t>（二）数字文化发展短板明显</w:t>
      </w:r>
      <w:r>
        <w:rPr>
          <w:rFonts w:hint="eastAsia" w:ascii="Times New Roman" w:hAnsi="Times New Roman" w:eastAsia="楷体_GB2312" w:cs="Times New Roman"/>
          <w:b/>
          <w:bCs w:val="0"/>
          <w:color w:va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FF0000"/>
          <w:sz w:val="32"/>
          <w:szCs w:val="32"/>
          <w:lang w:val="en-US" w:eastAsia="zh-CN"/>
        </w:rPr>
      </w:pPr>
      <w:r>
        <w:rPr>
          <w:rFonts w:hint="default" w:ascii="Times New Roman" w:hAnsi="Times New Roman" w:eastAsia="仿宋_GB2312" w:cs="Times New Roman"/>
          <w:sz w:val="32"/>
          <w:szCs w:val="32"/>
          <w:lang w:val="en-US" w:eastAsia="zh-CN"/>
        </w:rPr>
        <w:t>2021年绍兴市规上数字文化企业营业收入占规上文化企业营业收入比重仅为10.7%，与2020年度全省指标（59.4%</w:t>
      </w:r>
      <w:r>
        <w:rPr>
          <w:rStyle w:val="15"/>
          <w:rFonts w:hint="default" w:ascii="Times New Roman" w:hAnsi="Times New Roman" w:eastAsia="仿宋_GB2312" w:cs="Times New Roman"/>
          <w:sz w:val="32"/>
          <w:szCs w:val="32"/>
          <w:lang w:val="en-US" w:eastAsia="zh-CN"/>
        </w:rPr>
        <w:footnoteReference w:id="1"/>
      </w:r>
      <w:r>
        <w:rPr>
          <w:rFonts w:hint="default" w:ascii="Times New Roman" w:hAnsi="Times New Roman" w:eastAsia="仿宋_GB2312" w:cs="Times New Roman"/>
          <w:sz w:val="32"/>
          <w:szCs w:val="32"/>
          <w:lang w:val="en-US" w:eastAsia="zh-CN"/>
        </w:rPr>
        <w:t>，全省到2025年要达到65</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w:t>
      </w:r>
      <w:r>
        <w:rPr>
          <w:rStyle w:val="15"/>
          <w:rFonts w:hint="default" w:ascii="Times New Roman" w:hAnsi="Times New Roman" w:eastAsia="仿宋_GB2312" w:cs="Times New Roman"/>
          <w:sz w:val="32"/>
          <w:szCs w:val="32"/>
          <w:lang w:val="en-US" w:eastAsia="zh-CN"/>
        </w:rPr>
        <w:footnoteReference w:id="2"/>
      </w:r>
      <w:r>
        <w:rPr>
          <w:rFonts w:hint="default" w:ascii="Times New Roman" w:hAnsi="Times New Roman" w:eastAsia="仿宋_GB2312" w:cs="Times New Roman"/>
          <w:sz w:val="32"/>
          <w:szCs w:val="32"/>
          <w:lang w:val="en-US" w:eastAsia="zh-CN"/>
        </w:rPr>
        <w:t>）差距较大。</w:t>
      </w:r>
    </w:p>
    <w:p>
      <w:pPr>
        <w:pStyle w:val="3"/>
        <w:pageBreakBefore w:val="0"/>
        <w:widowControl w:val="0"/>
        <w:kinsoku/>
        <w:wordWrap/>
        <w:overflowPunct/>
        <w:topLinePunct w:val="0"/>
        <w:autoSpaceDE/>
        <w:autoSpaceDN/>
        <w:bidi w:val="0"/>
        <w:adjustRightInd w:val="0"/>
        <w:snapToGrid w:val="0"/>
        <w:spacing w:before="0" w:after="0" w:line="600" w:lineRule="exact"/>
        <w:ind w:firstLine="642" w:firstLineChars="200"/>
        <w:textAlignment w:val="auto"/>
        <w:rPr>
          <w:rFonts w:hint="default" w:ascii="Times New Roman" w:hAnsi="Times New Roman" w:eastAsia="楷体_GB2312" w:cs="Times New Roman"/>
          <w:b/>
          <w:bCs w:val="0"/>
          <w:color w:val="auto"/>
          <w:lang w:val="en-US" w:eastAsia="zh-CN"/>
        </w:rPr>
      </w:pPr>
      <w:bookmarkStart w:id="5" w:name="_Toc20875"/>
      <w:r>
        <w:rPr>
          <w:rFonts w:hint="default" w:ascii="Times New Roman" w:hAnsi="Times New Roman" w:eastAsia="楷体_GB2312" w:cs="Times New Roman"/>
          <w:b/>
          <w:bCs w:val="0"/>
          <w:color w:val="auto"/>
          <w:lang w:val="en-US" w:eastAsia="zh-CN"/>
        </w:rPr>
        <w:t>（三）文化企业主体培育效果</w:t>
      </w:r>
      <w:r>
        <w:rPr>
          <w:rFonts w:hint="eastAsia" w:ascii="Times New Roman" w:hAnsi="Times New Roman" w:eastAsia="楷体_GB2312" w:cs="Times New Roman"/>
          <w:b/>
          <w:bCs w:val="0"/>
          <w:color w:val="auto"/>
          <w:lang w:val="en-US" w:eastAsia="zh-CN"/>
        </w:rPr>
        <w:t>有待加强。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bCs w:val="0"/>
          <w:sz w:val="32"/>
          <w:szCs w:val="32"/>
          <w:lang w:val="en-US" w:eastAsia="zh-CN"/>
        </w:rPr>
        <w:t>与2020年相比，2021年绍兴市支</w:t>
      </w:r>
      <w:r>
        <w:rPr>
          <w:rFonts w:hint="default" w:ascii="Times New Roman" w:hAnsi="Times New Roman" w:eastAsia="仿宋_GB2312" w:cs="Times New Roman"/>
          <w:sz w:val="32"/>
          <w:szCs w:val="32"/>
          <w:lang w:val="en-US" w:eastAsia="zh-CN"/>
        </w:rPr>
        <w:t>持文化企业发展中新培育上市文化企业数量下降1个，下降100%；培育认定各类示范文化企业数下降8个，下降26.7%。</w:t>
      </w:r>
      <w:r>
        <w:rPr>
          <w:rFonts w:hint="eastAsia" w:ascii="Times New Roman" w:hAnsi="Times New Roman" w:eastAsia="仿宋_GB2312" w:cs="Times New Roman"/>
          <w:sz w:val="32"/>
          <w:szCs w:val="32"/>
          <w:lang w:val="en-US" w:eastAsia="zh-CN"/>
        </w:rPr>
        <w:t>但</w:t>
      </w:r>
      <w:r>
        <w:rPr>
          <w:rFonts w:hint="default" w:ascii="Times New Roman" w:hAnsi="Times New Roman" w:eastAsia="仿宋_GB2312" w:cs="Times New Roman"/>
          <w:sz w:val="32"/>
          <w:szCs w:val="32"/>
          <w:lang w:val="en-US" w:eastAsia="zh-CN"/>
        </w:rPr>
        <w:t>该</w:t>
      </w:r>
      <w:r>
        <w:rPr>
          <w:rFonts w:hint="eastAsia" w:ascii="Times New Roman" w:hAnsi="Times New Roman" w:eastAsia="仿宋_GB2312" w:cs="Times New Roman"/>
          <w:sz w:val="32"/>
          <w:szCs w:val="32"/>
          <w:lang w:val="en-US" w:eastAsia="zh-CN"/>
        </w:rPr>
        <w:t>扶持</w:t>
      </w:r>
      <w:r>
        <w:rPr>
          <w:rFonts w:hint="default" w:ascii="Times New Roman" w:hAnsi="Times New Roman" w:eastAsia="仿宋_GB2312" w:cs="Times New Roman"/>
          <w:sz w:val="32"/>
          <w:szCs w:val="32"/>
          <w:lang w:val="en-US" w:eastAsia="zh-CN"/>
        </w:rPr>
        <w:t>方向兑现资金占比最高，达59.6%。</w:t>
      </w:r>
    </w:p>
    <w:p>
      <w:pPr>
        <w:pStyle w:val="3"/>
        <w:pageBreakBefore w:val="0"/>
        <w:widowControl w:val="0"/>
        <w:kinsoku/>
        <w:wordWrap/>
        <w:overflowPunct/>
        <w:topLinePunct w:val="0"/>
        <w:autoSpaceDE/>
        <w:autoSpaceDN/>
        <w:bidi w:val="0"/>
        <w:adjustRightInd w:val="0"/>
        <w:snapToGrid w:val="0"/>
        <w:spacing w:before="0" w:after="0" w:line="600" w:lineRule="exact"/>
        <w:ind w:firstLine="642" w:firstLineChars="200"/>
        <w:textAlignment w:val="auto"/>
        <w:rPr>
          <w:rFonts w:hint="eastAsia" w:ascii="Times New Roman" w:hAnsi="Times New Roman" w:eastAsia="楷体_GB2312" w:cs="Times New Roman"/>
          <w:b/>
          <w:bCs w:val="0"/>
          <w:color w:val="auto"/>
          <w:lang w:val="en-US" w:eastAsia="zh-CN"/>
        </w:rPr>
      </w:pPr>
      <w:r>
        <w:rPr>
          <w:rFonts w:hint="eastAsia" w:ascii="Times New Roman" w:hAnsi="Times New Roman" w:eastAsia="楷体_GB2312" w:cs="Times New Roman"/>
          <w:b/>
          <w:bCs w:val="0"/>
          <w:color w:val="auto"/>
          <w:lang w:val="en-US" w:eastAsia="zh-CN"/>
        </w:rPr>
        <w:t>（四）财政投入均衡性有待提升。</w:t>
      </w:r>
    </w:p>
    <w:p>
      <w:pPr>
        <w:pStyle w:val="16"/>
        <w:keepNext w:val="0"/>
        <w:keepLines w:val="0"/>
        <w:pageBreakBefore w:val="0"/>
        <w:widowControl w:val="0"/>
        <w:numPr>
          <w:ilvl w:val="0"/>
          <w:numId w:val="0"/>
        </w:numPr>
        <w:kinsoku/>
        <w:wordWrap/>
        <w:overflowPunct/>
        <w:topLinePunct w:val="0"/>
        <w:autoSpaceDE/>
        <w:autoSpaceDN/>
        <w:bidi w:val="0"/>
        <w:snapToGrid/>
        <w:spacing w:line="600" w:lineRule="exact"/>
        <w:textAlignment w:val="auto"/>
        <w:rPr>
          <w:rFonts w:hint="default" w:eastAsia="仿宋_GB2312" w:cs="Times New Roman"/>
          <w:color w:val="auto"/>
          <w:sz w:val="32"/>
          <w:szCs w:val="32"/>
          <w:lang w:val="en-US" w:eastAsia="zh-CN"/>
        </w:rPr>
      </w:pPr>
      <w:r>
        <w:rPr>
          <w:rFonts w:hint="eastAsia" w:eastAsia="仿宋_GB2312" w:cs="Times New Roman"/>
          <w:color w:val="auto"/>
          <w:sz w:val="32"/>
          <w:szCs w:val="32"/>
          <w:lang w:val="en-US" w:eastAsia="zh-CN"/>
        </w:rPr>
        <w:t xml:space="preserve">    各区、县（市）文化政策财政投入差距较大，文化政策精准度不高。</w:t>
      </w:r>
      <w:bookmarkEnd w:id="4"/>
      <w:bookmarkEnd w:id="5"/>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default" w:ascii="Times New Roman" w:hAnsi="Times New Roman" w:eastAsia="黑体" w:cs="Times New Roman"/>
          <w:sz w:val="32"/>
          <w:szCs w:val="32"/>
          <w:lang w:val="en-US" w:eastAsia="zh-CN"/>
        </w:rPr>
      </w:pPr>
      <w:bookmarkStart w:id="6" w:name="_Toc19846"/>
      <w:r>
        <w:rPr>
          <w:rFonts w:hint="default" w:ascii="Times New Roman" w:hAnsi="Times New Roman" w:eastAsia="黑体" w:cs="Times New Roman"/>
          <w:sz w:val="32"/>
          <w:szCs w:val="32"/>
          <w:lang w:val="en-US" w:eastAsia="zh-CN"/>
        </w:rPr>
        <w:t>四、对策建议</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both"/>
        <w:textAlignment w:val="auto"/>
        <w:outlineLvl w:val="9"/>
        <w:rPr>
          <w:rFonts w:hint="default" w:ascii="Times New Roman" w:hAnsi="Times New Roman" w:eastAsia="楷体_GB2312" w:cs="Times New Roman"/>
          <w:b/>
          <w:bCs/>
          <w:color w:val="auto"/>
          <w:sz w:val="32"/>
          <w:szCs w:val="32"/>
          <w:lang w:val="en-US" w:eastAsia="zh-CN"/>
        </w:rPr>
      </w:pPr>
      <w:bookmarkStart w:id="7" w:name="_Toc18715"/>
      <w:r>
        <w:rPr>
          <w:rFonts w:hint="default" w:ascii="Times New Roman" w:hAnsi="Times New Roman" w:eastAsia="楷体_GB2312" w:cs="Times New Roman"/>
          <w:b/>
          <w:bCs/>
          <w:color w:val="auto"/>
          <w:sz w:val="32"/>
          <w:szCs w:val="32"/>
          <w:lang w:val="en-US" w:eastAsia="zh-CN"/>
        </w:rPr>
        <w:t>（一）</w:t>
      </w:r>
      <w:bookmarkStart w:id="8" w:name="_Toc20297"/>
      <w:r>
        <w:rPr>
          <w:rFonts w:hint="default" w:ascii="Times New Roman" w:hAnsi="Times New Roman" w:eastAsia="楷体_GB2312" w:cs="Times New Roman"/>
          <w:b/>
          <w:bCs/>
          <w:color w:val="auto"/>
          <w:sz w:val="32"/>
          <w:szCs w:val="32"/>
          <w:lang w:val="en-US" w:eastAsia="zh-CN"/>
        </w:rPr>
        <w:t>实施文化产业龙头企业培育工程，推动文化产业整体发展水平</w:t>
      </w:r>
      <w:r>
        <w:rPr>
          <w:rFonts w:hint="eastAsia" w:ascii="Times New Roman" w:hAnsi="Times New Roman" w:eastAsia="楷体_GB2312" w:cs="Times New Roman"/>
          <w:b/>
          <w:bCs/>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建议</w:t>
      </w:r>
      <w:r>
        <w:rPr>
          <w:rFonts w:hint="default" w:ascii="Times New Roman" w:hAnsi="Times New Roman" w:eastAsia="仿宋_GB2312" w:cs="Times New Roman"/>
          <w:color w:val="auto"/>
          <w:sz w:val="32"/>
          <w:szCs w:val="32"/>
          <w:lang w:val="en-US" w:eastAsia="zh-CN"/>
        </w:rPr>
        <w:t>进一步优化政策扶持行业结构，聚焦文化旅游、数字出版、演艺游乐、游戏动漫、创意设计</w:t>
      </w:r>
      <w:r>
        <w:rPr>
          <w:rFonts w:hint="eastAsia" w:ascii="Times New Roman" w:hAnsi="Times New Roman" w:eastAsia="仿宋_GB2312" w:cs="Times New Roman"/>
          <w:color w:val="auto"/>
          <w:sz w:val="32"/>
          <w:szCs w:val="32"/>
          <w:lang w:val="en-US" w:eastAsia="zh-CN"/>
        </w:rPr>
        <w:t>、科研技术服务</w:t>
      </w:r>
      <w:r>
        <w:rPr>
          <w:rFonts w:hint="default" w:ascii="Times New Roman" w:hAnsi="Times New Roman" w:eastAsia="仿宋_GB2312" w:cs="Times New Roman"/>
          <w:color w:val="auto"/>
          <w:sz w:val="32"/>
          <w:szCs w:val="32"/>
          <w:lang w:val="en-US" w:eastAsia="zh-CN"/>
        </w:rPr>
        <w:t>等重点领域，</w:t>
      </w:r>
      <w:r>
        <w:rPr>
          <w:rFonts w:hint="eastAsia" w:ascii="Times New Roman" w:hAnsi="Times New Roman" w:eastAsia="仿宋_GB2312" w:cs="Times New Roman"/>
          <w:color w:val="auto"/>
          <w:sz w:val="32"/>
          <w:szCs w:val="32"/>
          <w:lang w:val="en-US" w:eastAsia="zh-CN"/>
        </w:rPr>
        <w:t>实施倾向性扶持政策，</w:t>
      </w:r>
      <w:r>
        <w:rPr>
          <w:rFonts w:hint="default" w:ascii="Times New Roman" w:hAnsi="Times New Roman" w:eastAsia="仿宋_GB2312" w:cs="Times New Roman"/>
          <w:color w:val="auto"/>
          <w:sz w:val="32"/>
          <w:szCs w:val="32"/>
          <w:lang w:val="en-US" w:eastAsia="zh-CN"/>
        </w:rPr>
        <w:t>培育相关行业的文化龙头企业。</w:t>
      </w:r>
      <w:bookmarkEnd w:id="8"/>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both"/>
        <w:textAlignment w:val="auto"/>
        <w:outlineLvl w:val="9"/>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w:t>
      </w:r>
      <w:r>
        <w:rPr>
          <w:rFonts w:hint="eastAsia" w:ascii="Times New Roman" w:hAnsi="Times New Roman" w:eastAsia="楷体_GB2312" w:cs="Times New Roman"/>
          <w:b/>
          <w:bCs/>
          <w:color w:val="auto"/>
          <w:sz w:val="32"/>
          <w:szCs w:val="32"/>
          <w:lang w:val="en-US" w:eastAsia="zh-CN"/>
        </w:rPr>
        <w:t>二</w:t>
      </w:r>
      <w:r>
        <w:rPr>
          <w:rFonts w:hint="default" w:ascii="Times New Roman" w:hAnsi="Times New Roman" w:eastAsia="楷体_GB2312" w:cs="Times New Roman"/>
          <w:b/>
          <w:bCs/>
          <w:color w:val="auto"/>
          <w:sz w:val="32"/>
          <w:szCs w:val="32"/>
          <w:lang w:val="en-US" w:eastAsia="zh-CN"/>
        </w:rPr>
        <w:t>）补齐数字文化产业短板，增加文化产业发展新动能</w:t>
      </w:r>
      <w:r>
        <w:rPr>
          <w:rFonts w:hint="eastAsia" w:ascii="Times New Roman" w:hAnsi="Times New Roman" w:eastAsia="楷体_GB2312" w:cs="Times New Roman"/>
          <w:b/>
          <w:bCs/>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建议主管部门进一步分析目前绍兴市数字文化产业发展现状，查找绍兴市数字文化产业发展短板与薄弱点。引导企业加强数字技术在文化旅游、数字出版、演艺游乐、游戏动漫、创意设计等重点领域的应用。培育数字文化企业数量和规模，夯实数字文化产业基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both"/>
        <w:textAlignment w:val="auto"/>
        <w:outlineLvl w:val="9"/>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w:t>
      </w:r>
      <w:r>
        <w:rPr>
          <w:rFonts w:hint="eastAsia" w:ascii="Times New Roman" w:hAnsi="Times New Roman" w:eastAsia="楷体_GB2312" w:cs="Times New Roman"/>
          <w:b/>
          <w:bCs/>
          <w:color w:val="auto"/>
          <w:sz w:val="32"/>
          <w:szCs w:val="32"/>
          <w:lang w:val="en-US" w:eastAsia="zh-CN"/>
        </w:rPr>
        <w:t>三</w:t>
      </w:r>
      <w:r>
        <w:rPr>
          <w:rFonts w:hint="default" w:ascii="Times New Roman" w:hAnsi="Times New Roman" w:eastAsia="楷体_GB2312" w:cs="Times New Roman"/>
          <w:b/>
          <w:bCs/>
          <w:color w:val="auto"/>
          <w:sz w:val="32"/>
          <w:szCs w:val="32"/>
          <w:lang w:val="en-US" w:eastAsia="zh-CN"/>
        </w:rPr>
        <w:t>）调整区（县、市）资金结构，</w:t>
      </w:r>
      <w:r>
        <w:rPr>
          <w:rFonts w:hint="eastAsia" w:ascii="Times New Roman" w:hAnsi="Times New Roman" w:eastAsia="楷体_GB2312" w:cs="Times New Roman"/>
          <w:b/>
          <w:bCs/>
          <w:color w:val="auto"/>
          <w:sz w:val="32"/>
          <w:szCs w:val="32"/>
          <w:lang w:val="en-US" w:eastAsia="zh-CN"/>
        </w:rPr>
        <w:t>强化</w:t>
      </w:r>
      <w:r>
        <w:rPr>
          <w:rFonts w:hint="default" w:ascii="Times New Roman" w:hAnsi="Times New Roman" w:eastAsia="楷体_GB2312" w:cs="Times New Roman"/>
          <w:b/>
          <w:bCs/>
          <w:color w:val="auto"/>
          <w:sz w:val="32"/>
          <w:szCs w:val="32"/>
          <w:lang w:val="en-US" w:eastAsia="zh-CN"/>
        </w:rPr>
        <w:t>投入产出平衡性</w:t>
      </w:r>
      <w:r>
        <w:rPr>
          <w:rFonts w:hint="eastAsia" w:ascii="Times New Roman" w:hAnsi="Times New Roman" w:eastAsia="楷体_GB2312" w:cs="Times New Roman"/>
          <w:b/>
          <w:bCs/>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default" w:ascii="Times New Roman" w:hAnsi="Times New Roman" w:cs="Times New Roman"/>
          <w:lang w:val="en-US" w:eastAsia="zh-CN"/>
        </w:rPr>
      </w:pPr>
      <w:r>
        <w:rPr>
          <w:rFonts w:hint="default" w:ascii="Times New Roman" w:hAnsi="Times New Roman" w:eastAsia="仿宋_GB2312" w:cs="Times New Roman"/>
          <w:color w:val="auto"/>
          <w:sz w:val="32"/>
          <w:szCs w:val="32"/>
          <w:lang w:val="en-US" w:eastAsia="zh-CN"/>
        </w:rPr>
        <w:t>建议以政策绩效结果为导向，分析区（县、市）</w:t>
      </w:r>
      <w:r>
        <w:rPr>
          <w:rFonts w:hint="eastAsia" w:ascii="Times New Roman" w:hAnsi="Times New Roman" w:eastAsia="仿宋_GB2312" w:cs="Times New Roman"/>
          <w:color w:val="auto"/>
          <w:sz w:val="32"/>
          <w:szCs w:val="32"/>
          <w:lang w:val="en-US" w:eastAsia="zh-CN"/>
        </w:rPr>
        <w:t>政策产出变化</w:t>
      </w:r>
      <w:r>
        <w:rPr>
          <w:rFonts w:hint="default" w:ascii="Times New Roman" w:hAnsi="Times New Roman" w:eastAsia="仿宋_GB2312" w:cs="Times New Roman"/>
          <w:color w:val="auto"/>
          <w:sz w:val="32"/>
          <w:szCs w:val="32"/>
          <w:lang w:val="en-US" w:eastAsia="zh-CN"/>
        </w:rPr>
        <w:t>和政策扶持方向</w:t>
      </w:r>
      <w:r>
        <w:rPr>
          <w:rFonts w:hint="eastAsia" w:ascii="Times New Roman" w:hAnsi="Times New Roman" w:eastAsia="仿宋_GB2312" w:cs="Times New Roman"/>
          <w:color w:val="auto"/>
          <w:sz w:val="32"/>
          <w:szCs w:val="32"/>
          <w:lang w:val="en-US" w:eastAsia="zh-CN"/>
        </w:rPr>
        <w:t>、资金</w:t>
      </w:r>
      <w:r>
        <w:rPr>
          <w:rFonts w:hint="default" w:ascii="Times New Roman" w:hAnsi="Times New Roman" w:eastAsia="仿宋_GB2312" w:cs="Times New Roman"/>
          <w:color w:val="auto"/>
          <w:sz w:val="32"/>
          <w:szCs w:val="32"/>
          <w:lang w:val="en-US" w:eastAsia="zh-CN"/>
        </w:rPr>
        <w:t>投入</w:t>
      </w:r>
      <w:r>
        <w:rPr>
          <w:rFonts w:hint="eastAsia" w:ascii="Times New Roman" w:hAnsi="Times New Roman" w:eastAsia="仿宋_GB2312" w:cs="Times New Roman"/>
          <w:color w:val="auto"/>
          <w:sz w:val="32"/>
          <w:szCs w:val="32"/>
          <w:lang w:val="en-US" w:eastAsia="zh-CN"/>
        </w:rPr>
        <w:t>增幅</w:t>
      </w:r>
      <w:r>
        <w:rPr>
          <w:rFonts w:hint="default" w:ascii="Times New Roman" w:hAnsi="Times New Roman" w:eastAsia="仿宋_GB2312" w:cs="Times New Roman"/>
          <w:color w:val="auto"/>
          <w:sz w:val="32"/>
          <w:szCs w:val="32"/>
          <w:lang w:val="en-US" w:eastAsia="zh-CN"/>
        </w:rPr>
        <w:t>不匹配的原因，综合考虑资金兑现</w:t>
      </w:r>
      <w:r>
        <w:rPr>
          <w:rFonts w:hint="eastAsia" w:ascii="Times New Roman" w:hAnsi="Times New Roman" w:eastAsia="仿宋_GB2312" w:cs="Times New Roman"/>
          <w:color w:val="auto"/>
          <w:sz w:val="32"/>
          <w:szCs w:val="32"/>
          <w:lang w:val="en-US" w:eastAsia="zh-CN"/>
        </w:rPr>
        <w:t>规模</w:t>
      </w:r>
      <w:r>
        <w:rPr>
          <w:rFonts w:hint="default" w:ascii="Times New Roman" w:hAnsi="Times New Roman" w:eastAsia="仿宋_GB2312" w:cs="Times New Roman"/>
          <w:color w:val="auto"/>
          <w:sz w:val="32"/>
          <w:szCs w:val="32"/>
          <w:lang w:val="en-US" w:eastAsia="zh-CN"/>
        </w:rPr>
        <w:t>与地区</w:t>
      </w:r>
      <w:r>
        <w:rPr>
          <w:rFonts w:hint="eastAsia" w:ascii="Times New Roman" w:hAnsi="Times New Roman" w:eastAsia="仿宋_GB2312" w:cs="Times New Roman"/>
          <w:color w:val="auto"/>
          <w:sz w:val="32"/>
          <w:szCs w:val="32"/>
          <w:lang w:val="en-US" w:eastAsia="zh-CN"/>
        </w:rPr>
        <w:t>文化产业</w:t>
      </w:r>
      <w:r>
        <w:rPr>
          <w:rFonts w:hint="default" w:ascii="Times New Roman" w:hAnsi="Times New Roman" w:eastAsia="仿宋_GB2312" w:cs="Times New Roman"/>
          <w:color w:val="auto"/>
          <w:sz w:val="32"/>
          <w:szCs w:val="32"/>
          <w:lang w:val="en-US" w:eastAsia="zh-CN"/>
        </w:rPr>
        <w:t>发展现状，对绩效不高的政策进行调整，</w:t>
      </w:r>
      <w:r>
        <w:rPr>
          <w:rFonts w:hint="eastAsia" w:ascii="Times New Roman" w:hAnsi="Times New Roman" w:eastAsia="仿宋_GB2312" w:cs="Times New Roman"/>
          <w:color w:val="auto"/>
          <w:sz w:val="32"/>
          <w:szCs w:val="32"/>
          <w:lang w:val="en-US" w:eastAsia="zh-CN"/>
        </w:rPr>
        <w:t>通过适当扩大政策覆盖面、提高补助标准等措施，进一步</w:t>
      </w:r>
      <w:r>
        <w:rPr>
          <w:rFonts w:hint="default" w:ascii="Times New Roman" w:hAnsi="Times New Roman" w:eastAsia="仿宋_GB2312" w:cs="Times New Roman"/>
          <w:color w:val="auto"/>
          <w:sz w:val="32"/>
          <w:szCs w:val="32"/>
          <w:lang w:val="en-US" w:eastAsia="zh-CN"/>
        </w:rPr>
        <w:t>提高</w:t>
      </w:r>
      <w:r>
        <w:rPr>
          <w:rFonts w:hint="eastAsia" w:ascii="Times New Roman" w:hAnsi="Times New Roman" w:eastAsia="仿宋_GB2312" w:cs="Times New Roman"/>
          <w:color w:val="auto"/>
          <w:sz w:val="32"/>
          <w:szCs w:val="32"/>
          <w:lang w:val="en-US" w:eastAsia="zh-CN"/>
        </w:rPr>
        <w:t>全市</w:t>
      </w:r>
      <w:r>
        <w:rPr>
          <w:rFonts w:hint="default" w:ascii="Times New Roman" w:hAnsi="Times New Roman" w:eastAsia="仿宋_GB2312" w:cs="Times New Roman"/>
          <w:color w:val="auto"/>
          <w:sz w:val="32"/>
          <w:szCs w:val="32"/>
          <w:lang w:val="en-US" w:eastAsia="zh-CN"/>
        </w:rPr>
        <w:t>文化政策兑现资金</w:t>
      </w:r>
      <w:r>
        <w:rPr>
          <w:rFonts w:hint="eastAsia" w:ascii="Times New Roman" w:hAnsi="Times New Roman" w:eastAsia="仿宋_GB2312" w:cs="Times New Roman"/>
          <w:color w:val="auto"/>
          <w:sz w:val="32"/>
          <w:szCs w:val="32"/>
          <w:lang w:val="en-US" w:eastAsia="zh-CN"/>
        </w:rPr>
        <w:t>投入产出的地区</w:t>
      </w:r>
      <w:r>
        <w:rPr>
          <w:rFonts w:hint="default" w:ascii="Times New Roman" w:hAnsi="Times New Roman" w:eastAsia="仿宋_GB2312" w:cs="Times New Roman"/>
          <w:color w:val="auto"/>
          <w:sz w:val="32"/>
          <w:szCs w:val="32"/>
          <w:lang w:val="en-US" w:eastAsia="zh-CN"/>
        </w:rPr>
        <w:t>平衡性</w:t>
      </w:r>
      <w:r>
        <w:rPr>
          <w:rFonts w:hint="eastAsia" w:ascii="Times New Roman" w:hAnsi="Times New Roman" w:eastAsia="仿宋_GB2312" w:cs="Times New Roman"/>
          <w:color w:val="auto"/>
          <w:sz w:val="32"/>
          <w:szCs w:val="32"/>
          <w:lang w:val="en-US" w:eastAsia="zh-CN"/>
        </w:rPr>
        <w:t>，实现全市文化产业同步发展</w:t>
      </w:r>
      <w:r>
        <w:rPr>
          <w:rFonts w:hint="default" w:ascii="Times New Roman" w:hAnsi="Times New Roman" w:eastAsia="仿宋_GB2312" w:cs="Times New Roman"/>
          <w:color w:val="auto"/>
          <w:sz w:val="32"/>
          <w:szCs w:val="32"/>
          <w:lang w:val="en-US" w:eastAsia="zh-CN"/>
        </w:rPr>
        <w:t>。</w:t>
      </w:r>
      <w:bookmarkEnd w:id="7"/>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Century Gothic">
    <w:altName w:val="FreeSans"/>
    <w:panose1 w:val="020B0502020202020204"/>
    <w:charset w:val="00"/>
    <w:family w:val="swiss"/>
    <w:pitch w:val="default"/>
    <w:sig w:usb0="00000000" w:usb1="00000000" w:usb2="00000000" w:usb3="00000000" w:csb0="2000009F" w:csb1="DFD7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t>1</w:t>
                          </w:r>
                          <w:r>
                            <w:fldChar w:fldCharType="end"/>
                          </w:r>
                        </w:p>
                      </w:txbxContent>
                    </wps:txbx>
                    <wps:bodyPr vert="horz" wrap="none" lIns="0" tIns="0" rIns="0" bIns="0" anchor="t"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c8d/dyAEAAHcDAAAOAAAAAAAA&#10;AAEAIAAAADQBAABkcnMvZTJvRG9jLnhtbFBLBQYAAAAABgAGAFkBAABu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r>
        <w:separator/>
      </w:r>
    </w:p>
  </w:footnote>
  <w:footnote w:type="continuationSeparator" w:id="7">
    <w:p>
      <w:r>
        <w:continuationSeparator/>
      </w:r>
    </w:p>
  </w:footnote>
  <w:footnote w:id="0">
    <w:p>
      <w:pPr>
        <w:pStyle w:val="11"/>
        <w:snapToGrid w:val="0"/>
        <w:rPr>
          <w:rFonts w:hint="eastAsia"/>
          <w:lang w:val="en-US" w:eastAsia="zh-CN"/>
        </w:rPr>
      </w:pPr>
      <w:r>
        <w:rPr>
          <w:rFonts w:hint="eastAsia"/>
          <w:lang w:val="en-US" w:eastAsia="zh-CN"/>
        </w:rPr>
        <w:footnoteRef/>
      </w:r>
      <w:r>
        <w:rPr>
          <w:rFonts w:hint="eastAsia"/>
          <w:lang w:val="en-US" w:eastAsia="zh-CN"/>
        </w:rPr>
        <w:t xml:space="preserve"> 本次评价结果根据综合得分率划分为四个档：90（含）—100分为优、80（含）—90分为良、60（含）—80分为中、60分以下为差。</w:t>
      </w:r>
    </w:p>
  </w:footnote>
  <w:footnote w:id="1">
    <w:p>
      <w:pPr>
        <w:pStyle w:val="11"/>
        <w:snapToGrid w:val="0"/>
        <w:rPr>
          <w:rFonts w:hint="eastAsia" w:eastAsia="宋体"/>
          <w:lang w:eastAsia="zh-CN"/>
        </w:rPr>
      </w:pPr>
      <w:r>
        <w:rPr>
          <w:rStyle w:val="15"/>
        </w:rPr>
        <w:footnoteRef/>
      </w:r>
      <w:r>
        <w:t xml:space="preserve"> </w:t>
      </w:r>
      <w:r>
        <w:rPr>
          <w:rFonts w:hint="eastAsia"/>
          <w:lang w:eastAsia="zh-CN"/>
        </w:rPr>
        <w:t>数据来源于《浙江省文化改革发展“十四五”规划》的通知。</w:t>
      </w:r>
    </w:p>
  </w:footnote>
  <w:footnote w:id="2">
    <w:p>
      <w:pPr>
        <w:pStyle w:val="11"/>
        <w:snapToGrid w:val="0"/>
        <w:rPr>
          <w:rFonts w:hint="eastAsia" w:eastAsia="宋体"/>
          <w:lang w:eastAsia="zh-CN"/>
        </w:rPr>
      </w:pPr>
      <w:r>
        <w:rPr>
          <w:rStyle w:val="15"/>
        </w:rPr>
        <w:footnoteRef/>
      </w:r>
      <w:r>
        <w:t xml:space="preserve"> </w:t>
      </w:r>
      <w:r>
        <w:rPr>
          <w:rFonts w:hint="eastAsia"/>
          <w:lang w:val="en-US" w:eastAsia="zh-CN"/>
        </w:rPr>
        <w:t>数据来源于</w:t>
      </w:r>
      <w:r>
        <w:rPr>
          <w:rFonts w:hint="eastAsia"/>
        </w:rPr>
        <w:t>《浙江省文化和旅游厅关于加快推进数字文化产业高质量发展的实施意见》</w:t>
      </w:r>
      <w:r>
        <w:rPr>
          <w:rFonts w:hint="eastAsia"/>
          <w:lang w:eastAsia="zh-C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194E22"/>
    <w:multiLevelType w:val="singleLevel"/>
    <w:tmpl w:val="43194E22"/>
    <w:lvl w:ilvl="0" w:tentative="0">
      <w:start w:val="1"/>
      <w:numFmt w:val="chineseCounting"/>
      <w:pStyle w:val="2"/>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footnotePr>
    <w:footnote w:id="6"/>
    <w:footnote w:id="7"/>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ODg0YTYzNmE2NmYzZDRkMjc3N2MzZmM3NTg2NGEifQ=="/>
  </w:docVars>
  <w:rsids>
    <w:rsidRoot w:val="00000000"/>
    <w:rsid w:val="00501CA9"/>
    <w:rsid w:val="00C33020"/>
    <w:rsid w:val="02D212D8"/>
    <w:rsid w:val="02D92666"/>
    <w:rsid w:val="04051239"/>
    <w:rsid w:val="0490144A"/>
    <w:rsid w:val="05A61C3F"/>
    <w:rsid w:val="05CCA36D"/>
    <w:rsid w:val="0616772D"/>
    <w:rsid w:val="063C091F"/>
    <w:rsid w:val="06C47189"/>
    <w:rsid w:val="0749032D"/>
    <w:rsid w:val="07571DAC"/>
    <w:rsid w:val="07C136C9"/>
    <w:rsid w:val="08273E74"/>
    <w:rsid w:val="08925F12"/>
    <w:rsid w:val="0A1026E6"/>
    <w:rsid w:val="0AA01CBB"/>
    <w:rsid w:val="0ACA2657"/>
    <w:rsid w:val="0B740BF6"/>
    <w:rsid w:val="0CDB2D73"/>
    <w:rsid w:val="0CE045F1"/>
    <w:rsid w:val="0DB32496"/>
    <w:rsid w:val="0DDC78FA"/>
    <w:rsid w:val="0DEE1AD0"/>
    <w:rsid w:val="0F554919"/>
    <w:rsid w:val="10D41CFB"/>
    <w:rsid w:val="12165C31"/>
    <w:rsid w:val="13B2334D"/>
    <w:rsid w:val="15121A08"/>
    <w:rsid w:val="152C7A61"/>
    <w:rsid w:val="161A6DC6"/>
    <w:rsid w:val="162B0FD3"/>
    <w:rsid w:val="16D20608"/>
    <w:rsid w:val="17167187"/>
    <w:rsid w:val="18023FBF"/>
    <w:rsid w:val="19191F0D"/>
    <w:rsid w:val="19306A3C"/>
    <w:rsid w:val="1981683A"/>
    <w:rsid w:val="19AB2E4B"/>
    <w:rsid w:val="1A8567D8"/>
    <w:rsid w:val="1B1B7A3D"/>
    <w:rsid w:val="1BAE5277"/>
    <w:rsid w:val="1BC40B8F"/>
    <w:rsid w:val="1C2838D0"/>
    <w:rsid w:val="1C667774"/>
    <w:rsid w:val="1DC51A5B"/>
    <w:rsid w:val="1E8F5E77"/>
    <w:rsid w:val="1ED51465"/>
    <w:rsid w:val="1FB46134"/>
    <w:rsid w:val="1FE94313"/>
    <w:rsid w:val="20873039"/>
    <w:rsid w:val="2246271F"/>
    <w:rsid w:val="226F3FF6"/>
    <w:rsid w:val="2359110A"/>
    <w:rsid w:val="23787498"/>
    <w:rsid w:val="23F845E0"/>
    <w:rsid w:val="255A76ED"/>
    <w:rsid w:val="25716E3E"/>
    <w:rsid w:val="261A5E6C"/>
    <w:rsid w:val="27FC457D"/>
    <w:rsid w:val="283E1316"/>
    <w:rsid w:val="28B32199"/>
    <w:rsid w:val="28CD4350"/>
    <w:rsid w:val="29C45B5E"/>
    <w:rsid w:val="2A9B314E"/>
    <w:rsid w:val="2AB25900"/>
    <w:rsid w:val="2B734413"/>
    <w:rsid w:val="2B8019B1"/>
    <w:rsid w:val="2D102B3C"/>
    <w:rsid w:val="2D314334"/>
    <w:rsid w:val="2DDFD1E9"/>
    <w:rsid w:val="2DEF31E0"/>
    <w:rsid w:val="2E4127AB"/>
    <w:rsid w:val="2E7905DA"/>
    <w:rsid w:val="2F5E7BCC"/>
    <w:rsid w:val="2F876160"/>
    <w:rsid w:val="2FF52E85"/>
    <w:rsid w:val="2FFD64E9"/>
    <w:rsid w:val="302D7C0B"/>
    <w:rsid w:val="308561F7"/>
    <w:rsid w:val="30B30F08"/>
    <w:rsid w:val="32225850"/>
    <w:rsid w:val="32B235E5"/>
    <w:rsid w:val="33BA0FFF"/>
    <w:rsid w:val="33F57FFD"/>
    <w:rsid w:val="34BF133F"/>
    <w:rsid w:val="34CA46A3"/>
    <w:rsid w:val="364F1319"/>
    <w:rsid w:val="37A95DA4"/>
    <w:rsid w:val="38A02D03"/>
    <w:rsid w:val="391B05DB"/>
    <w:rsid w:val="393C6ED0"/>
    <w:rsid w:val="39657409"/>
    <w:rsid w:val="39F3A74B"/>
    <w:rsid w:val="3A964794"/>
    <w:rsid w:val="3B5E124B"/>
    <w:rsid w:val="3C3C6A6D"/>
    <w:rsid w:val="3D4E72A9"/>
    <w:rsid w:val="3D553C50"/>
    <w:rsid w:val="3E270E76"/>
    <w:rsid w:val="3EEA5264"/>
    <w:rsid w:val="3F19736B"/>
    <w:rsid w:val="3FAF304E"/>
    <w:rsid w:val="40B0343A"/>
    <w:rsid w:val="40BB43D1"/>
    <w:rsid w:val="41171519"/>
    <w:rsid w:val="41B415CD"/>
    <w:rsid w:val="41FD1336"/>
    <w:rsid w:val="42673A98"/>
    <w:rsid w:val="428F29B7"/>
    <w:rsid w:val="42F10EAE"/>
    <w:rsid w:val="42F56C07"/>
    <w:rsid w:val="439C092E"/>
    <w:rsid w:val="44783B4A"/>
    <w:rsid w:val="4504257D"/>
    <w:rsid w:val="46AA2C28"/>
    <w:rsid w:val="47675D92"/>
    <w:rsid w:val="476E70EB"/>
    <w:rsid w:val="47961EA1"/>
    <w:rsid w:val="47EC329D"/>
    <w:rsid w:val="480F755D"/>
    <w:rsid w:val="49865F45"/>
    <w:rsid w:val="49AD4314"/>
    <w:rsid w:val="4A7A0BCE"/>
    <w:rsid w:val="4AE253FD"/>
    <w:rsid w:val="4C9646F1"/>
    <w:rsid w:val="4E5263F6"/>
    <w:rsid w:val="503969AE"/>
    <w:rsid w:val="517316C2"/>
    <w:rsid w:val="517A7A3E"/>
    <w:rsid w:val="51B03B5F"/>
    <w:rsid w:val="51CC676F"/>
    <w:rsid w:val="52DB0208"/>
    <w:rsid w:val="540F63C8"/>
    <w:rsid w:val="548B5BF3"/>
    <w:rsid w:val="55D91D6F"/>
    <w:rsid w:val="565E617B"/>
    <w:rsid w:val="57AC301B"/>
    <w:rsid w:val="58063348"/>
    <w:rsid w:val="58906498"/>
    <w:rsid w:val="59B34AEC"/>
    <w:rsid w:val="59CF21A2"/>
    <w:rsid w:val="59FE7432"/>
    <w:rsid w:val="5A0C0AE0"/>
    <w:rsid w:val="5A9D2C1F"/>
    <w:rsid w:val="5AF11653"/>
    <w:rsid w:val="5B7F5687"/>
    <w:rsid w:val="5C8D25DC"/>
    <w:rsid w:val="5D1A27D4"/>
    <w:rsid w:val="5D9E545E"/>
    <w:rsid w:val="5E7B2260"/>
    <w:rsid w:val="5EA65F54"/>
    <w:rsid w:val="5F334021"/>
    <w:rsid w:val="5FA665A1"/>
    <w:rsid w:val="5FEA1504"/>
    <w:rsid w:val="5FF44A4C"/>
    <w:rsid w:val="612569BB"/>
    <w:rsid w:val="61DC236D"/>
    <w:rsid w:val="621B30CF"/>
    <w:rsid w:val="62227EA2"/>
    <w:rsid w:val="63874086"/>
    <w:rsid w:val="64591E34"/>
    <w:rsid w:val="667FADDA"/>
    <w:rsid w:val="672901E4"/>
    <w:rsid w:val="67415D14"/>
    <w:rsid w:val="68684D3C"/>
    <w:rsid w:val="689551BD"/>
    <w:rsid w:val="694E4A7E"/>
    <w:rsid w:val="695B21AB"/>
    <w:rsid w:val="6A114F5F"/>
    <w:rsid w:val="6A9516EC"/>
    <w:rsid w:val="6BAB754D"/>
    <w:rsid w:val="6C480FE6"/>
    <w:rsid w:val="6CD61581"/>
    <w:rsid w:val="6DC72505"/>
    <w:rsid w:val="6E4E0530"/>
    <w:rsid w:val="6E901120"/>
    <w:rsid w:val="6EA840E4"/>
    <w:rsid w:val="6EB8824A"/>
    <w:rsid w:val="6F3F60CB"/>
    <w:rsid w:val="6F7F079B"/>
    <w:rsid w:val="6FC21A38"/>
    <w:rsid w:val="6FF7486D"/>
    <w:rsid w:val="712655FF"/>
    <w:rsid w:val="713E473A"/>
    <w:rsid w:val="734B449C"/>
    <w:rsid w:val="73E30AF3"/>
    <w:rsid w:val="73FF213C"/>
    <w:rsid w:val="7431692A"/>
    <w:rsid w:val="750E2487"/>
    <w:rsid w:val="75C321C4"/>
    <w:rsid w:val="75F86092"/>
    <w:rsid w:val="77E51789"/>
    <w:rsid w:val="782A08D1"/>
    <w:rsid w:val="79264A79"/>
    <w:rsid w:val="795F3A6E"/>
    <w:rsid w:val="7A9055A5"/>
    <w:rsid w:val="7AAFE394"/>
    <w:rsid w:val="7AFF4609"/>
    <w:rsid w:val="7B353D53"/>
    <w:rsid w:val="7B752307"/>
    <w:rsid w:val="7CF16C56"/>
    <w:rsid w:val="7D322A82"/>
    <w:rsid w:val="7D544A05"/>
    <w:rsid w:val="7D6733BC"/>
    <w:rsid w:val="7D8E0949"/>
    <w:rsid w:val="7DDE715A"/>
    <w:rsid w:val="7ED31481"/>
    <w:rsid w:val="7F224ACD"/>
    <w:rsid w:val="7F6B6C5E"/>
    <w:rsid w:val="7F7DBA4D"/>
    <w:rsid w:val="7FA23E09"/>
    <w:rsid w:val="7FFF69A2"/>
    <w:rsid w:val="AAFEBCC3"/>
    <w:rsid w:val="AF2F9896"/>
    <w:rsid w:val="AFC7702F"/>
    <w:rsid w:val="B7DF98A5"/>
    <w:rsid w:val="BADD8F24"/>
    <w:rsid w:val="BFFF709B"/>
    <w:rsid w:val="C5FDF8A3"/>
    <w:rsid w:val="C5FF140A"/>
    <w:rsid w:val="DBFF1D0B"/>
    <w:rsid w:val="DDDD1245"/>
    <w:rsid w:val="DDFCCD05"/>
    <w:rsid w:val="DF19720D"/>
    <w:rsid w:val="DF7C7661"/>
    <w:rsid w:val="EAFA30C5"/>
    <w:rsid w:val="F3CFB266"/>
    <w:rsid w:val="F3FFBE36"/>
    <w:rsid w:val="F4C7D412"/>
    <w:rsid w:val="F5F5E241"/>
    <w:rsid w:val="F6DE9674"/>
    <w:rsid w:val="F7C7B510"/>
    <w:rsid w:val="FB7F3911"/>
    <w:rsid w:val="FFF503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rFonts w:ascii="Times New Roman" w:hAnsi="Times New Roman" w:eastAsia="宋体" w:cs="Times New Roman"/>
      <w:b/>
      <w:bCs/>
      <w:kern w:val="44"/>
      <w:sz w:val="30"/>
      <w:szCs w:val="44"/>
    </w:rPr>
  </w:style>
  <w:style w:type="paragraph" w:styleId="3">
    <w:name w:val="heading 2"/>
    <w:basedOn w:val="1"/>
    <w:next w:val="1"/>
    <w:unhideWhenUsed/>
    <w:qFormat/>
    <w:uiPriority w:val="0"/>
    <w:pPr>
      <w:keepNext/>
      <w:keepLines/>
      <w:spacing w:before="260" w:after="260" w:line="416" w:lineRule="auto"/>
      <w:outlineLvl w:val="1"/>
    </w:pPr>
    <w:rPr>
      <w:rFonts w:ascii="Calibri" w:hAnsi="Calibri" w:eastAsia="宋体" w:cs="Times New Roman"/>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6"/>
    <w:qFormat/>
    <w:uiPriority w:val="0"/>
    <w:rPr>
      <w:rFonts w:ascii="仿宋_GB2312" w:hAnsi="仿宋_GB2312" w:eastAsia="仿宋_GB2312" w:cs="仿宋_GB2312"/>
      <w:sz w:val="32"/>
      <w:szCs w:val="32"/>
      <w:lang w:val="zh-CN" w:eastAsia="zh-CN" w:bidi="zh-CN"/>
    </w:rPr>
  </w:style>
  <w:style w:type="paragraph" w:styleId="6">
    <w:name w:val="Body Text First Indent"/>
    <w:basedOn w:val="5"/>
    <w:next w:val="7"/>
    <w:qFormat/>
    <w:uiPriority w:val="0"/>
    <w:pPr>
      <w:ind w:firstLine="420"/>
    </w:pPr>
    <w:rPr>
      <w:sz w:val="21"/>
    </w:rPr>
  </w:style>
  <w:style w:type="paragraph" w:styleId="7">
    <w:name w:val="toc 6"/>
    <w:basedOn w:val="1"/>
    <w:next w:val="1"/>
    <w:qFormat/>
    <w:uiPriority w:val="0"/>
    <w:pPr>
      <w:ind w:left="1050"/>
      <w:jc w:val="left"/>
    </w:pPr>
    <w:rPr>
      <w:rFonts w:ascii="Century Gothic" w:hAnsi="Century Gothic"/>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footnote text"/>
    <w:basedOn w:val="1"/>
    <w:qFormat/>
    <w:uiPriority w:val="0"/>
    <w:pPr>
      <w:snapToGrid w:val="0"/>
      <w:jc w:val="left"/>
    </w:pPr>
    <w:rPr>
      <w:sz w:val="18"/>
    </w:rPr>
  </w:style>
  <w:style w:type="paragraph" w:styleId="12">
    <w:name w:val="toc 2"/>
    <w:basedOn w:val="1"/>
    <w:next w:val="1"/>
    <w:qFormat/>
    <w:uiPriority w:val="0"/>
    <w:pPr>
      <w:ind w:left="420" w:leftChars="200"/>
    </w:pPr>
  </w:style>
  <w:style w:type="character" w:styleId="15">
    <w:name w:val="footnote reference"/>
    <w:basedOn w:val="14"/>
    <w:qFormat/>
    <w:uiPriority w:val="0"/>
    <w:rPr>
      <w:vertAlign w:val="superscript"/>
    </w:rPr>
  </w:style>
  <w:style w:type="paragraph" w:customStyle="1" w:styleId="16">
    <w:name w:val="Char"/>
    <w:qFormat/>
    <w:uiPriority w:val="0"/>
    <w:pPr>
      <w:widowControl w:val="0"/>
      <w:adjustRightInd w:val="0"/>
      <w:spacing w:line="360" w:lineRule="auto"/>
      <w:jc w:val="both"/>
    </w:pPr>
    <w:rPr>
      <w:rFonts w:ascii="Times New Roman" w:hAnsi="Times New Roman" w:eastAsia="宋体" w:cs="Times New Roman"/>
      <w:sz w:val="24"/>
      <w:lang w:val="en-US" w:eastAsia="zh-CN" w:bidi="ar-SA"/>
    </w:rPr>
  </w:style>
  <w:style w:type="paragraph" w:customStyle="1" w:styleId="17">
    <w:name w:val="WPSOffice手动目录 1"/>
    <w:qFormat/>
    <w:uiPriority w:val="0"/>
    <w:pPr>
      <w:ind w:leftChars="0"/>
    </w:pPr>
    <w:rPr>
      <w:rFonts w:ascii="Times New Roman" w:hAnsi="Times New Roman" w:eastAsia="宋体" w:cs="Times New Roman"/>
      <w:sz w:val="20"/>
      <w:szCs w:val="20"/>
    </w:rPr>
  </w:style>
  <w:style w:type="paragraph" w:customStyle="1" w:styleId="18">
    <w:name w:val="WPSOffice手动目录 2"/>
    <w:qFormat/>
    <w:uiPriority w:val="0"/>
    <w:pPr>
      <w:ind w:leftChars="200"/>
    </w:pPr>
    <w:rPr>
      <w:rFonts w:ascii="Times New Roman" w:hAnsi="Times New Roman" w:eastAsia="宋体" w:cs="Times New Roman"/>
      <w:sz w:val="20"/>
      <w:szCs w:val="20"/>
    </w:rPr>
  </w:style>
  <w:style w:type="character" w:customStyle="1" w:styleId="19">
    <w:name w:val="font81"/>
    <w:basedOn w:val="14"/>
    <w:qFormat/>
    <w:uiPriority w:val="0"/>
    <w:rPr>
      <w:rFonts w:hint="eastAsia" w:ascii="仿宋" w:hAnsi="仿宋" w:eastAsia="仿宋" w:cs="仿宋"/>
      <w:color w:val="000000"/>
      <w:sz w:val="24"/>
      <w:szCs w:val="24"/>
      <w:u w:val="none"/>
    </w:rPr>
  </w:style>
  <w:style w:type="character" w:customStyle="1" w:styleId="20">
    <w:name w:val="font11"/>
    <w:basedOn w:val="14"/>
    <w:qFormat/>
    <w:uiPriority w:val="0"/>
    <w:rPr>
      <w:rFonts w:hint="default" w:ascii="Times New Roman" w:hAnsi="Times New Roman" w:cs="Times New Roman"/>
      <w:b/>
      <w:bCs/>
      <w:color w:val="000000"/>
      <w:sz w:val="20"/>
      <w:szCs w:val="20"/>
      <w:u w:val="none"/>
    </w:rPr>
  </w:style>
  <w:style w:type="character" w:customStyle="1" w:styleId="21">
    <w:name w:val="font41"/>
    <w:basedOn w:val="14"/>
    <w:qFormat/>
    <w:uiPriority w:val="0"/>
    <w:rPr>
      <w:rFonts w:hint="eastAsia" w:ascii="仿宋" w:hAnsi="仿宋" w:eastAsia="仿宋" w:cs="仿宋"/>
      <w:color w:val="000000"/>
      <w:sz w:val="22"/>
      <w:szCs w:val="22"/>
      <w:u w:val="none"/>
    </w:rPr>
  </w:style>
  <w:style w:type="character" w:customStyle="1" w:styleId="22">
    <w:name w:val="font31"/>
    <w:basedOn w:val="14"/>
    <w:qFormat/>
    <w:uiPriority w:val="0"/>
    <w:rPr>
      <w:rFonts w:hint="eastAsia" w:ascii="宋体" w:hAnsi="宋体" w:eastAsia="宋体" w:cs="宋体"/>
      <w:color w:val="FF0000"/>
      <w:sz w:val="20"/>
      <w:szCs w:val="20"/>
      <w:u w:val="none"/>
    </w:rPr>
  </w:style>
  <w:style w:type="character" w:customStyle="1" w:styleId="23">
    <w:name w:val="font01"/>
    <w:basedOn w:val="14"/>
    <w:qFormat/>
    <w:uiPriority w:val="0"/>
    <w:rPr>
      <w:rFonts w:hint="eastAsia" w:ascii="仿宋" w:hAnsi="仿宋" w:eastAsia="仿宋" w:cs="仿宋"/>
      <w:color w:val="000000"/>
      <w:sz w:val="24"/>
      <w:szCs w:val="24"/>
      <w:u w:val="none"/>
    </w:rPr>
  </w:style>
  <w:style w:type="character" w:customStyle="1" w:styleId="24">
    <w:name w:val="font21"/>
    <w:basedOn w:val="14"/>
    <w:qFormat/>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36</Pages>
  <Words>14354</Words>
  <Characters>16924</Characters>
  <Lines>0</Lines>
  <Paragraphs>0</Paragraphs>
  <TotalTime>1</TotalTime>
  <ScaleCrop>false</ScaleCrop>
  <LinksUpToDate>false</LinksUpToDate>
  <CharactersWithSpaces>16951</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2022-04-15T07:15:00Z</dcterms:created>
  <dc:creator>lenovo</dc:creator>
  <cp:lastModifiedBy>sxszf</cp:lastModifiedBy>
  <dcterms:modified xsi:type="dcterms:W3CDTF">2022-11-29T09:45:35Z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9C8CE1F1C9D14CB49EF6B230981C41DF</vt:lpwstr>
  </property>
  <property fmtid="{D5CDD505-2E9C-101B-9397-08002B2CF9AE}" pid="4" name="woTemplateTypoMode">
    <vt:lpwstr>web</vt:lpwstr>
  </property>
  <property fmtid="{D5CDD505-2E9C-101B-9397-08002B2CF9AE}" pid="5" name="woTemplate">
    <vt:r8>1</vt:r8>
  </property>
  <property fmtid="{D5CDD505-2E9C-101B-9397-08002B2CF9AE}" pid="6" name="commondata">
    <vt:lpwstr>eyJoZGlkIjoiODMwODg0YTYzNmE2NmYzZDRkMjc3N2MzZmM3NTg2NGEifQ==</vt:lpwstr>
  </property>
</Properties>
</file>