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sz w:val="44"/>
          <w:szCs w:val="44"/>
          <w:lang w:val="en-US" w:eastAsia="zh-CN"/>
        </w:rPr>
      </w:pPr>
      <w:bookmarkStart w:id="0" w:name="_GoBack"/>
      <w:bookmarkEnd w:id="0"/>
      <w:r>
        <w:rPr>
          <w:rFonts w:hint="eastAsia" w:ascii="黑体" w:hAnsi="黑体" w:eastAsia="黑体" w:cs="黑体"/>
          <w:sz w:val="44"/>
          <w:szCs w:val="44"/>
          <w:lang w:val="en-US" w:eastAsia="zh-CN"/>
        </w:rPr>
        <w:t>绍兴市2021年度“1+9”政策绩效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评价报告——金融政策</w:t>
      </w:r>
    </w:p>
    <w:p>
      <w:pPr>
        <w:spacing w:line="600" w:lineRule="exact"/>
        <w:ind w:firstLine="623"/>
        <w:jc w:val="center"/>
        <w:rPr>
          <w:rFonts w:ascii="黑体" w:hAnsi="黑体" w:eastAsia="黑体" w:cs="黑体"/>
          <w:b/>
          <w:sz w:val="44"/>
          <w:szCs w:val="44"/>
        </w:rPr>
      </w:pPr>
    </w:p>
    <w:p>
      <w:pPr>
        <w:spacing w:line="360" w:lineRule="auto"/>
        <w:ind w:firstLine="640" w:firstLineChars="200"/>
        <w:rPr>
          <w:rFonts w:ascii="黑体" w:hAnsi="黑体" w:eastAsia="黑体"/>
          <w:sz w:val="32"/>
          <w:szCs w:val="32"/>
        </w:rPr>
      </w:pPr>
      <w:r>
        <w:rPr>
          <w:rFonts w:hint="eastAsia" w:ascii="黑体" w:hAnsi="黑体" w:eastAsia="黑体"/>
          <w:sz w:val="32"/>
          <w:szCs w:val="32"/>
        </w:rPr>
        <w:t>一、政策基本情况</w:t>
      </w:r>
    </w:p>
    <w:p>
      <w:pPr>
        <w:spacing w:line="360" w:lineRule="auto"/>
        <w:ind w:firstLine="640" w:firstLineChars="200"/>
        <w:rPr>
          <w:rFonts w:ascii="仿宋_GB2312" w:hAnsi="Times New Roman" w:eastAsia="仿宋_GB2312"/>
          <w:kern w:val="0"/>
          <w:sz w:val="32"/>
          <w:szCs w:val="32"/>
        </w:rPr>
      </w:pPr>
      <w:r>
        <w:rPr>
          <w:rFonts w:hint="eastAsia" w:ascii="仿宋_GB2312" w:hAnsi="楷体" w:eastAsia="仿宋_GB2312" w:cs="仿宋_GB2312"/>
          <w:kern w:val="0"/>
          <w:sz w:val="32"/>
          <w:szCs w:val="32"/>
        </w:rPr>
        <w:t>2021年，绍兴市出台了《金融支持经济高质量发展若干政策》</w:t>
      </w:r>
      <w:r>
        <w:rPr>
          <w:rFonts w:hint="eastAsia" w:ascii="仿宋_GB2312" w:hAnsi="楷体" w:eastAsia="仿宋_GB2312" w:cs="仿宋_GB2312"/>
          <w:sz w:val="32"/>
          <w:szCs w:val="32"/>
        </w:rPr>
        <w:t>（绍政办发〔2021〕29号）</w:t>
      </w:r>
      <w:r>
        <w:rPr>
          <w:rFonts w:hint="eastAsia" w:ascii="仿宋_GB2312" w:hAnsi="楷体" w:eastAsia="仿宋_GB2312" w:cs="仿宋_GB2312"/>
          <w:kern w:val="0"/>
          <w:sz w:val="32"/>
          <w:szCs w:val="32"/>
        </w:rPr>
        <w:t>共包括加强金融服务保障、强化融资担保增信、强化资本市场支撑等三大支持方向和10条具体政策，较上一轮政策共新增政策1条、作废政策5条、修订政策3条。绍兴市金融办已出台《金融支持经济高质量发展若干政策实施细则》（绍金融办</w:t>
      </w:r>
      <w:r>
        <w:rPr>
          <w:rFonts w:hint="eastAsia" w:ascii="仿宋_GB2312" w:hAnsi="楷体" w:eastAsia="仿宋_GB2312" w:cs="仿宋_GB2312"/>
          <w:sz w:val="32"/>
          <w:szCs w:val="32"/>
        </w:rPr>
        <w:t>〔2021〕50号</w:t>
      </w:r>
      <w:r>
        <w:rPr>
          <w:rFonts w:hint="eastAsia" w:ascii="仿宋_GB2312" w:hAnsi="楷体" w:eastAsia="仿宋_GB2312" w:cs="仿宋_GB2312"/>
          <w:kern w:val="0"/>
          <w:sz w:val="32"/>
          <w:szCs w:val="32"/>
        </w:rPr>
        <w:t>），实施细则覆盖金融全部政策</w:t>
      </w:r>
      <w:r>
        <w:rPr>
          <w:rFonts w:hint="eastAsia" w:ascii="仿宋_GB2312" w:eastAsia="仿宋_GB2312"/>
          <w:sz w:val="32"/>
          <w:szCs w:val="32"/>
        </w:rPr>
        <w:t>，内容包括：考核程序、扶持对象、扶持标准、申请材料、审批程序等方面。区（县、市）</w:t>
      </w:r>
      <w:r>
        <w:rPr>
          <w:rFonts w:hint="eastAsia" w:ascii="仿宋_GB2312" w:hAnsi="楷体" w:eastAsia="仿宋_GB2312" w:cs="仿宋_GB2312"/>
          <w:kern w:val="0"/>
          <w:sz w:val="32"/>
          <w:szCs w:val="32"/>
        </w:rPr>
        <w:t>在奖励发放时</w:t>
      </w:r>
      <w:r>
        <w:rPr>
          <w:rFonts w:hint="eastAsia" w:ascii="仿宋_GB2312" w:eastAsia="仿宋_GB2312"/>
          <w:sz w:val="32"/>
          <w:szCs w:val="32"/>
        </w:rPr>
        <w:t>均参考</w:t>
      </w:r>
      <w:r>
        <w:rPr>
          <w:rFonts w:hint="eastAsia" w:ascii="仿宋_GB2312" w:hAnsi="楷体" w:eastAsia="仿宋_GB2312" w:cs="仿宋_GB2312"/>
          <w:kern w:val="0"/>
          <w:sz w:val="32"/>
          <w:szCs w:val="32"/>
        </w:rPr>
        <w:t>《金融支持经济高质量发展若干政策实施细则》并已设置“越快兑”申报指南</w:t>
      </w:r>
      <w:r>
        <w:rPr>
          <w:rFonts w:hint="eastAsia" w:ascii="仿宋_GB2312" w:hAnsi="楷体" w:eastAsia="仿宋_GB2312" w:cs="仿宋_GB2312"/>
          <w:kern w:val="0"/>
          <w:sz w:val="32"/>
          <w:szCs w:val="32"/>
          <w:lang w:eastAsia="zh-CN"/>
        </w:rPr>
        <w:t>。</w:t>
      </w:r>
      <w:r>
        <w:rPr>
          <w:rFonts w:hint="eastAsia" w:ascii="仿宋_GB2312" w:hAnsi="Times New Roman" w:eastAsia="仿宋_GB2312"/>
          <w:kern w:val="0"/>
          <w:sz w:val="32"/>
          <w:szCs w:val="32"/>
        </w:rPr>
        <w:t>2</w:t>
      </w:r>
      <w:r>
        <w:rPr>
          <w:rFonts w:ascii="仿宋_GB2312" w:hAnsi="Times New Roman" w:eastAsia="仿宋_GB2312"/>
          <w:kern w:val="0"/>
          <w:sz w:val="32"/>
          <w:szCs w:val="32"/>
        </w:rPr>
        <w:t>021</w:t>
      </w:r>
      <w:r>
        <w:rPr>
          <w:rFonts w:hint="eastAsia" w:ascii="仿宋_GB2312" w:hAnsi="Times New Roman" w:eastAsia="仿宋_GB2312"/>
          <w:kern w:val="0"/>
          <w:sz w:val="32"/>
          <w:szCs w:val="32"/>
        </w:rPr>
        <w:t>年，绍兴市金融政策预算资金安排2.23亿元，实际兑现2.23亿元，预算执行率为</w:t>
      </w:r>
      <w:r>
        <w:rPr>
          <w:rFonts w:ascii="仿宋_GB2312" w:hAnsi="Times New Roman" w:eastAsia="仿宋_GB2312"/>
          <w:kern w:val="0"/>
          <w:sz w:val="32"/>
          <w:szCs w:val="32"/>
        </w:rPr>
        <w:t>1</w:t>
      </w:r>
      <w:r>
        <w:rPr>
          <w:rFonts w:hint="eastAsia" w:ascii="仿宋_GB2312" w:hAnsi="Times New Roman" w:eastAsia="仿宋_GB2312"/>
          <w:kern w:val="0"/>
          <w:sz w:val="32"/>
          <w:szCs w:val="32"/>
        </w:rPr>
        <w:t>00</w:t>
      </w:r>
      <w:r>
        <w:rPr>
          <w:rFonts w:ascii="仿宋_GB2312" w:hAnsi="Times New Roman" w:eastAsia="仿宋_GB2312"/>
          <w:kern w:val="0"/>
          <w:sz w:val="32"/>
          <w:szCs w:val="32"/>
        </w:rPr>
        <w:t>.</w:t>
      </w:r>
      <w:r>
        <w:rPr>
          <w:rFonts w:hint="eastAsia" w:ascii="仿宋_GB2312" w:hAnsi="Times New Roman" w:eastAsia="仿宋_GB2312"/>
          <w:kern w:val="0"/>
          <w:sz w:val="32"/>
          <w:szCs w:val="32"/>
        </w:rPr>
        <w:t>00</w:t>
      </w:r>
      <w:r>
        <w:rPr>
          <w:rFonts w:ascii="仿宋_GB2312" w:hAnsi="Times New Roman" w:eastAsia="仿宋_GB2312"/>
          <w:kern w:val="0"/>
          <w:sz w:val="32"/>
          <w:szCs w:val="32"/>
        </w:rPr>
        <w:t>%</w:t>
      </w:r>
      <w:r>
        <w:rPr>
          <w:rFonts w:hint="eastAsia" w:ascii="仿宋_GB2312" w:hAnsi="Times New Roman" w:eastAsia="仿宋_GB2312"/>
          <w:kern w:val="0"/>
          <w:sz w:val="32"/>
          <w:szCs w:val="32"/>
        </w:rPr>
        <w:t>。</w:t>
      </w:r>
    </w:p>
    <w:p>
      <w:pPr>
        <w:spacing w:line="360" w:lineRule="auto"/>
        <w:ind w:firstLine="640" w:firstLineChars="200"/>
        <w:rPr>
          <w:rFonts w:hint="eastAsia" w:ascii="黑体" w:hAnsi="黑体" w:eastAsia="黑体"/>
          <w:sz w:val="32"/>
          <w:szCs w:val="32"/>
        </w:rPr>
      </w:pPr>
      <w:r>
        <w:rPr>
          <w:rFonts w:hint="eastAsia" w:ascii="黑体" w:hAnsi="黑体" w:eastAsia="黑体"/>
          <w:sz w:val="32"/>
          <w:szCs w:val="32"/>
        </w:rPr>
        <w:t>二、政策评价结论</w:t>
      </w:r>
    </w:p>
    <w:p>
      <w:pPr>
        <w:widowControl/>
        <w:shd w:val="clear" w:color="auto" w:fill="FFFFFF"/>
        <w:spacing w:line="240" w:lineRule="atLeast"/>
        <w:ind w:firstLine="640" w:firstLineChars="200"/>
        <w:rPr>
          <w:rFonts w:ascii="仿宋_GB2312" w:hAnsi="仿宋" w:eastAsia="仿宋_GB2312" w:cstheme="minorBidi"/>
          <w:bCs/>
          <w:color w:val="000000" w:themeColor="text1"/>
          <w:sz w:val="32"/>
          <w:szCs w:val="32"/>
          <w14:textFill>
            <w14:solidFill>
              <w14:schemeClr w14:val="tx1"/>
            </w14:solidFill>
          </w14:textFill>
        </w:rPr>
      </w:pPr>
      <w:r>
        <w:rPr>
          <w:rFonts w:hint="eastAsia" w:eastAsia="仿宋_GB2312"/>
          <w:sz w:val="32"/>
          <w:szCs w:val="32"/>
        </w:rPr>
        <w:t>本次评价按照</w:t>
      </w:r>
      <w:r>
        <w:rPr>
          <w:rFonts w:hint="eastAsia" w:ascii="仿宋_GB2312" w:eastAsia="仿宋_GB2312"/>
          <w:sz w:val="32"/>
          <w:szCs w:val="32"/>
        </w:rPr>
        <w:t>“政策制定——政策执行——政策绩效”</w:t>
      </w:r>
      <w:r>
        <w:rPr>
          <w:rFonts w:hint="eastAsia" w:eastAsia="仿宋_GB2312"/>
          <w:sz w:val="32"/>
          <w:szCs w:val="32"/>
        </w:rPr>
        <w:t>基本逻辑，分别从“经济性”、“效率性”、“有效性”三个维度进行评价。</w:t>
      </w:r>
      <w:r>
        <w:rPr>
          <w:rFonts w:hint="eastAsia" w:ascii="仿宋_GB2312" w:hAnsi="仿宋" w:eastAsia="仿宋_GB2312" w:cstheme="minorBidi"/>
          <w:bCs/>
          <w:color w:val="000000" w:themeColor="text1"/>
          <w:sz w:val="32"/>
          <w:szCs w:val="32"/>
          <w14:textFill>
            <w14:solidFill>
              <w14:schemeClr w14:val="tx1"/>
            </w14:solidFill>
          </w14:textFill>
        </w:rPr>
        <w:t>通过评价分析，2021年绍兴市金融政策绩效评价得分率为82</w:t>
      </w:r>
      <w:r>
        <w:rPr>
          <w:rFonts w:ascii="仿宋_GB2312" w:hAnsi="仿宋" w:eastAsia="仿宋_GB2312" w:cstheme="minorBidi"/>
          <w:bCs/>
          <w:color w:val="000000" w:themeColor="text1"/>
          <w:sz w:val="32"/>
          <w:szCs w:val="32"/>
          <w14:textFill>
            <w14:solidFill>
              <w14:schemeClr w14:val="tx1"/>
            </w14:solidFill>
          </w14:textFill>
        </w:rPr>
        <w:t>.</w:t>
      </w:r>
      <w:r>
        <w:rPr>
          <w:rFonts w:hint="eastAsia" w:ascii="仿宋_GB2312" w:hAnsi="仿宋" w:eastAsia="仿宋_GB2312" w:cstheme="minorBidi"/>
          <w:bCs/>
          <w:color w:val="000000" w:themeColor="text1"/>
          <w:sz w:val="32"/>
          <w:szCs w:val="32"/>
          <w14:textFill>
            <w14:solidFill>
              <w14:schemeClr w14:val="tx1"/>
            </w14:solidFill>
          </w14:textFill>
        </w:rPr>
        <w:t>77%，评价等级为</w:t>
      </w:r>
      <w:r>
        <w:rPr>
          <w:rFonts w:eastAsia="仿宋_GB2312"/>
          <w:kern w:val="0"/>
          <w:sz w:val="32"/>
          <w:szCs w:val="32"/>
        </w:rPr>
        <w:t>：</w:t>
      </w:r>
      <w:r>
        <w:rPr>
          <w:rFonts w:hint="eastAsia" w:eastAsia="仿宋_GB2312"/>
          <w:b/>
          <w:bCs/>
          <w:kern w:val="0"/>
          <w:sz w:val="32"/>
          <w:szCs w:val="32"/>
        </w:rPr>
        <w:t>良</w:t>
      </w:r>
      <w:r>
        <w:rPr>
          <w:rStyle w:val="13"/>
          <w:rFonts w:eastAsia="仿宋_GB2312"/>
          <w:b/>
          <w:bCs/>
          <w:kern w:val="0"/>
          <w:sz w:val="32"/>
          <w:szCs w:val="32"/>
        </w:rPr>
        <w:footnoteReference w:id="0"/>
      </w:r>
      <w:r>
        <w:rPr>
          <w:rFonts w:eastAsia="仿宋_GB2312"/>
          <w:kern w:val="0"/>
          <w:sz w:val="32"/>
          <w:szCs w:val="32"/>
        </w:rPr>
        <w:t>。</w:t>
      </w:r>
    </w:p>
    <w:p>
      <w:pPr>
        <w:tabs>
          <w:tab w:val="left" w:pos="851"/>
        </w:tabs>
        <w:spacing w:line="360" w:lineRule="auto"/>
        <w:ind w:firstLine="640" w:firstLineChars="200"/>
        <w:rPr>
          <w:rFonts w:ascii="黑体" w:hAnsi="黑体" w:eastAsia="黑体" w:cs="仿宋_GB2312"/>
          <w:kern w:val="0"/>
          <w:sz w:val="32"/>
          <w:szCs w:val="32"/>
        </w:rPr>
      </w:pPr>
      <w:r>
        <w:rPr>
          <w:rFonts w:hint="eastAsia" w:ascii="黑体" w:hAnsi="黑体" w:eastAsia="黑体" w:cs="仿宋_GB2312"/>
          <w:kern w:val="0"/>
          <w:sz w:val="32"/>
          <w:szCs w:val="32"/>
        </w:rPr>
        <w:t>三、</w:t>
      </w:r>
      <w:r>
        <w:rPr>
          <w:rFonts w:ascii="黑体" w:hAnsi="黑体" w:eastAsia="黑体" w:cs="仿宋_GB2312"/>
          <w:kern w:val="0"/>
          <w:sz w:val="32"/>
          <w:szCs w:val="32"/>
        </w:rPr>
        <w:t>主要问题</w:t>
      </w:r>
    </w:p>
    <w:p>
      <w:pPr>
        <w:ind w:firstLine="642" w:firstLineChars="200"/>
        <w:rPr>
          <w:rFonts w:hint="eastAsia" w:ascii="楷体" w:hAnsi="楷体" w:eastAsia="楷体" w:cs="仿宋_GB2312"/>
          <w:b/>
          <w:bCs/>
          <w:kern w:val="0"/>
          <w:sz w:val="32"/>
          <w:szCs w:val="32"/>
          <w:lang w:eastAsia="zh-CN"/>
        </w:rPr>
      </w:pPr>
      <w:r>
        <w:rPr>
          <w:rFonts w:hint="eastAsia" w:ascii="楷体" w:hAnsi="楷体" w:eastAsia="楷体" w:cs="仿宋_GB2312"/>
          <w:b/>
          <w:bCs/>
          <w:kern w:val="0"/>
          <w:sz w:val="32"/>
          <w:szCs w:val="32"/>
        </w:rPr>
        <w:t>（一）政策引导力度不够，金融业规模及增速还需提升</w:t>
      </w:r>
      <w:r>
        <w:rPr>
          <w:rFonts w:hint="eastAsia" w:ascii="楷体" w:hAnsi="楷体" w:eastAsia="楷体" w:cs="仿宋_GB2312"/>
          <w:b/>
          <w:bCs/>
          <w:kern w:val="0"/>
          <w:sz w:val="32"/>
          <w:szCs w:val="32"/>
          <w:lang w:eastAsia="zh-CN"/>
        </w:rPr>
        <w:t>。</w:t>
      </w:r>
    </w:p>
    <w:p>
      <w:pPr>
        <w:tabs>
          <w:tab w:val="left" w:pos="851"/>
        </w:tabs>
        <w:spacing w:line="360" w:lineRule="auto"/>
        <w:ind w:firstLine="640" w:firstLineChars="20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从高质量发展指标完成情况来看，绍兴市金融业增加值近三年虽处于连续增长状态，但2021年增速下降。从金融业增加值GDP占比及第三产业增加值占比规模来看，2021年均落后于同期浙江省金融业增加值占全省GDP</w:t>
      </w:r>
      <w:r>
        <w:rPr>
          <w:rFonts w:hint="eastAsia" w:ascii="仿宋_GB2312" w:hAnsi="楷体" w:eastAsia="仿宋_GB2312" w:cs="仿宋_GB2312"/>
          <w:kern w:val="0"/>
          <w:sz w:val="32"/>
          <w:szCs w:val="32"/>
          <w:lang w:eastAsia="zh-CN"/>
        </w:rPr>
        <w:t>比重和</w:t>
      </w:r>
      <w:r>
        <w:rPr>
          <w:rFonts w:hint="eastAsia" w:ascii="仿宋_GB2312" w:hAnsi="楷体" w:eastAsia="仿宋_GB2312" w:cs="仿宋_GB2312"/>
          <w:kern w:val="0"/>
          <w:sz w:val="32"/>
          <w:szCs w:val="32"/>
        </w:rPr>
        <w:t>占全省第三产业增加值</w:t>
      </w:r>
      <w:r>
        <w:rPr>
          <w:rFonts w:hint="eastAsia" w:ascii="仿宋_GB2312" w:hAnsi="楷体" w:eastAsia="仿宋_GB2312" w:cs="仿宋_GB2312"/>
          <w:kern w:val="0"/>
          <w:sz w:val="32"/>
          <w:szCs w:val="32"/>
          <w:lang w:eastAsia="zh-CN"/>
        </w:rPr>
        <w:t>比重</w:t>
      </w:r>
      <w:r>
        <w:rPr>
          <w:rFonts w:hint="eastAsia" w:ascii="仿宋_GB2312" w:hAnsi="楷体" w:eastAsia="仿宋_GB2312" w:cs="仿宋_GB2312"/>
          <w:kern w:val="0"/>
          <w:sz w:val="32"/>
          <w:szCs w:val="32"/>
        </w:rPr>
        <w:t>。</w:t>
      </w:r>
    </w:p>
    <w:p>
      <w:pPr>
        <w:numPr>
          <w:ilvl w:val="0"/>
          <w:numId w:val="1"/>
        </w:numPr>
        <w:tabs>
          <w:tab w:val="left" w:pos="851"/>
        </w:tabs>
        <w:spacing w:line="360" w:lineRule="auto"/>
        <w:ind w:firstLine="642" w:firstLineChars="200"/>
        <w:rPr>
          <w:rFonts w:hint="eastAsia" w:ascii="楷体" w:hAnsi="楷体" w:eastAsia="楷体" w:cs="仿宋_GB2312"/>
          <w:b/>
          <w:bCs/>
          <w:kern w:val="0"/>
          <w:sz w:val="32"/>
          <w:szCs w:val="32"/>
        </w:rPr>
      </w:pPr>
      <w:r>
        <w:rPr>
          <w:rFonts w:hint="eastAsia" w:ascii="楷体" w:hAnsi="楷体" w:eastAsia="楷体" w:cs="仿宋_GB2312"/>
          <w:b/>
          <w:bCs/>
          <w:kern w:val="0"/>
          <w:sz w:val="32"/>
          <w:szCs w:val="32"/>
        </w:rPr>
        <w:t>重点产业协同政策不够具体</w:t>
      </w:r>
      <w:r>
        <w:rPr>
          <w:rFonts w:hint="eastAsia" w:ascii="楷体" w:hAnsi="楷体" w:eastAsia="楷体" w:cs="仿宋_GB2312"/>
          <w:b/>
          <w:bCs/>
          <w:kern w:val="0"/>
          <w:sz w:val="32"/>
          <w:szCs w:val="32"/>
          <w:lang w:eastAsia="zh-CN"/>
        </w:rPr>
        <w:t>。</w:t>
      </w:r>
    </w:p>
    <w:p>
      <w:pPr>
        <w:numPr>
          <w:ilvl w:val="0"/>
          <w:numId w:val="0"/>
        </w:numPr>
        <w:tabs>
          <w:tab w:val="left" w:pos="851"/>
        </w:tabs>
        <w:spacing w:line="360" w:lineRule="auto"/>
        <w:ind w:firstLine="640" w:firstLineChars="20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《绍兴市金融业“十四五”发展规划》中提及的主要任务之一为“</w:t>
      </w:r>
      <w:r>
        <w:rPr>
          <w:rFonts w:ascii="仿宋_GB2312" w:hAnsi="楷体" w:eastAsia="仿宋_GB2312" w:cs="仿宋_GB2312"/>
          <w:kern w:val="0"/>
          <w:sz w:val="32"/>
          <w:szCs w:val="32"/>
        </w:rPr>
        <w:t>金融支持高质量现代产业体系构建。</w:t>
      </w:r>
      <w:r>
        <w:rPr>
          <w:rFonts w:hint="eastAsia" w:ascii="仿宋_GB2312" w:hAnsi="楷体" w:eastAsia="仿宋_GB2312" w:cs="仿宋_GB2312"/>
          <w:kern w:val="0"/>
          <w:sz w:val="32"/>
          <w:szCs w:val="32"/>
        </w:rPr>
        <w:t>聚焦高端装备、新材料、电子信息、现代医药四大新兴产业，以及国家集成电路产业创新中心、长三角集成电路制造基地建设，加大金融产品和服务供给创新力度，提供战略性、长期性的融资”，目前金融政策未针对上述重点产业出台明确具体的产业协同政策。</w:t>
      </w:r>
    </w:p>
    <w:p>
      <w:pPr>
        <w:tabs>
          <w:tab w:val="left" w:pos="851"/>
          <w:tab w:val="left" w:pos="1560"/>
        </w:tabs>
        <w:spacing w:line="360" w:lineRule="auto"/>
        <w:ind w:firstLine="706" w:firstLineChars="220"/>
        <w:rPr>
          <w:rFonts w:hint="eastAsia" w:ascii="楷体" w:hAnsi="楷体" w:eastAsia="楷体" w:cs="仿宋_GB2312"/>
          <w:b/>
          <w:bCs/>
          <w:kern w:val="0"/>
          <w:sz w:val="32"/>
          <w:szCs w:val="32"/>
          <w:lang w:eastAsia="zh-CN"/>
        </w:rPr>
      </w:pPr>
      <w:r>
        <w:rPr>
          <w:rFonts w:hint="eastAsia" w:ascii="楷体" w:hAnsi="楷体" w:eastAsia="楷体" w:cs="仿宋_GB2312"/>
          <w:b/>
          <w:bCs/>
          <w:kern w:val="0"/>
          <w:sz w:val="32"/>
          <w:szCs w:val="32"/>
        </w:rPr>
        <w:t>（三）部分区（县、市）个性化政策与高指标发展指标关联性不高</w:t>
      </w:r>
      <w:r>
        <w:rPr>
          <w:rFonts w:hint="eastAsia" w:ascii="楷体" w:hAnsi="楷体" w:eastAsia="楷体" w:cs="仿宋_GB2312"/>
          <w:b/>
          <w:bCs/>
          <w:kern w:val="0"/>
          <w:sz w:val="32"/>
          <w:szCs w:val="32"/>
          <w:lang w:eastAsia="zh-CN"/>
        </w:rPr>
        <w:t>。</w:t>
      </w:r>
    </w:p>
    <w:p>
      <w:pPr>
        <w:tabs>
          <w:tab w:val="left" w:pos="851"/>
        </w:tabs>
        <w:spacing w:line="360" w:lineRule="auto"/>
        <w:ind w:firstLine="704" w:firstLineChars="22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2021年，诸暨市、上虞区、柯桥区自行出台个性化政策较多，个性化政策兑现资金较多。自行出台个性化政策内容覆盖企业税收先征后返奖励、自然人税收先征后返奖励、</w:t>
      </w:r>
      <w:r>
        <w:rPr>
          <w:rFonts w:hint="eastAsia" w:ascii="仿宋_GB2312" w:eastAsia="仿宋_GB2312"/>
          <w:sz w:val="32"/>
          <w:szCs w:val="32"/>
        </w:rPr>
        <w:t>市值管理奖励等多个方面。上述个性化政策与高质量发展指标关联性不高，且与目前市级金融政策绩效目标关联度不高。</w:t>
      </w:r>
    </w:p>
    <w:p>
      <w:pPr>
        <w:spacing w:line="600" w:lineRule="exact"/>
        <w:ind w:firstLine="640" w:firstLineChars="200"/>
        <w:rPr>
          <w:rFonts w:ascii="黑体" w:hAnsi="黑体" w:eastAsia="黑体" w:cs="仿宋_GB2312"/>
          <w:kern w:val="0"/>
          <w:sz w:val="32"/>
          <w:szCs w:val="32"/>
        </w:rPr>
      </w:pPr>
      <w:r>
        <w:rPr>
          <w:rFonts w:ascii="黑体" w:hAnsi="黑体" w:eastAsia="黑体" w:cs="仿宋_GB2312"/>
          <w:kern w:val="0"/>
          <w:sz w:val="32"/>
          <w:szCs w:val="32"/>
        </w:rPr>
        <w:t>四</w:t>
      </w:r>
      <w:r>
        <w:rPr>
          <w:rFonts w:hint="eastAsia" w:ascii="黑体" w:hAnsi="黑体" w:eastAsia="黑体" w:cs="仿宋_GB2312"/>
          <w:kern w:val="0"/>
          <w:sz w:val="32"/>
          <w:szCs w:val="32"/>
        </w:rPr>
        <w:t>、对策建议</w:t>
      </w:r>
    </w:p>
    <w:p>
      <w:pPr>
        <w:spacing w:line="600" w:lineRule="exact"/>
        <w:ind w:firstLine="640"/>
        <w:rPr>
          <w:rFonts w:hint="eastAsia" w:ascii="楷体" w:hAnsi="楷体" w:eastAsia="楷体" w:cs="仿宋_GB2312"/>
          <w:b/>
          <w:bCs/>
          <w:kern w:val="0"/>
          <w:sz w:val="32"/>
          <w:szCs w:val="32"/>
          <w:lang w:eastAsia="zh-CN"/>
        </w:rPr>
      </w:pPr>
      <w:r>
        <w:rPr>
          <w:rFonts w:hint="eastAsia" w:ascii="楷体" w:hAnsi="楷体" w:eastAsia="楷体" w:cs="仿宋_GB2312"/>
          <w:b/>
          <w:bCs/>
          <w:kern w:val="0"/>
          <w:sz w:val="32"/>
          <w:szCs w:val="32"/>
        </w:rPr>
        <w:t>（一）提高现有金融机构考核力度，出台吸引外部金融机构落户政策</w:t>
      </w:r>
      <w:r>
        <w:rPr>
          <w:rFonts w:hint="eastAsia" w:ascii="楷体" w:hAnsi="楷体" w:eastAsia="楷体" w:cs="仿宋_GB2312"/>
          <w:b/>
          <w:bCs/>
          <w:kern w:val="0"/>
          <w:sz w:val="32"/>
          <w:szCs w:val="32"/>
          <w:lang w:eastAsia="zh-CN"/>
        </w:rPr>
        <w:t>。</w:t>
      </w:r>
    </w:p>
    <w:p>
      <w:pPr>
        <w:spacing w:line="600" w:lineRule="exact"/>
        <w:ind w:firstLine="64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建议市金融办对各项存贷款余额及各项存贷款余额增速等高质量发展指标进一步加大考核力度，一是通过进一步联合加强与绍兴银保监分局、人行绍兴支行合作，提高考核目标标准；二是通过提高财政专户资金竞争性存放考评分数或增加其它相关表彰，加大考核奖励力度。</w:t>
      </w:r>
    </w:p>
    <w:p>
      <w:pPr>
        <w:spacing w:line="600" w:lineRule="exact"/>
        <w:ind w:firstLine="64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同时新出台吸引金融机构落户政策，新政策可聚力于打造新金融众创空间带、联动县级金融聚焦平台等方面，营造出良好的金融环境，增加外部金融机构落户相关奖励政策。两方面共同举措，推动绍兴市金融业规模及增速高质量发展。</w:t>
      </w:r>
    </w:p>
    <w:p>
      <w:pPr>
        <w:spacing w:line="600" w:lineRule="exact"/>
        <w:ind w:firstLine="640"/>
        <w:rPr>
          <w:rFonts w:hint="eastAsia" w:ascii="楷体" w:hAnsi="楷体" w:eastAsia="楷体" w:cs="仿宋_GB2312"/>
          <w:b/>
          <w:bCs/>
          <w:kern w:val="0"/>
          <w:sz w:val="32"/>
          <w:szCs w:val="32"/>
          <w:lang w:eastAsia="zh-CN"/>
        </w:rPr>
      </w:pPr>
      <w:r>
        <w:rPr>
          <w:rFonts w:hint="eastAsia" w:ascii="楷体" w:hAnsi="楷体" w:eastAsia="楷体" w:cs="仿宋_GB2312"/>
          <w:b/>
          <w:bCs/>
          <w:kern w:val="0"/>
          <w:sz w:val="32"/>
          <w:szCs w:val="32"/>
        </w:rPr>
        <w:t>（二）</w:t>
      </w:r>
      <w:r>
        <w:rPr>
          <w:rFonts w:hint="eastAsia" w:ascii="楷体" w:hAnsi="楷体" w:eastAsia="楷体"/>
          <w:b/>
          <w:bCs/>
          <w:sz w:val="32"/>
          <w:szCs w:val="32"/>
        </w:rPr>
        <w:t>优化资金投向，</w:t>
      </w:r>
      <w:r>
        <w:rPr>
          <w:rFonts w:hint="eastAsia" w:ascii="楷体" w:hAnsi="楷体" w:eastAsia="楷体" w:cs="仿宋_GB2312"/>
          <w:b/>
          <w:bCs/>
          <w:kern w:val="0"/>
          <w:sz w:val="32"/>
          <w:szCs w:val="32"/>
        </w:rPr>
        <w:t>配套政策</w:t>
      </w:r>
      <w:r>
        <w:rPr>
          <w:rFonts w:hint="eastAsia" w:ascii="楷体" w:hAnsi="楷体" w:eastAsia="楷体"/>
          <w:b/>
          <w:bCs/>
          <w:sz w:val="32"/>
          <w:szCs w:val="32"/>
        </w:rPr>
        <w:t>提高重</w:t>
      </w:r>
      <w:r>
        <w:rPr>
          <w:rFonts w:hint="eastAsia" w:ascii="楷体" w:hAnsi="楷体" w:eastAsia="楷体" w:cs="仿宋_GB2312"/>
          <w:b/>
          <w:bCs/>
          <w:kern w:val="0"/>
          <w:sz w:val="32"/>
          <w:szCs w:val="32"/>
        </w:rPr>
        <w:t>点产业企业、重点税源企业倾斜力度</w:t>
      </w:r>
      <w:r>
        <w:rPr>
          <w:rFonts w:hint="eastAsia" w:ascii="楷体" w:hAnsi="楷体" w:eastAsia="楷体" w:cs="仿宋_GB2312"/>
          <w:b/>
          <w:bCs/>
          <w:kern w:val="0"/>
          <w:sz w:val="32"/>
          <w:szCs w:val="32"/>
          <w:lang w:eastAsia="zh-CN"/>
        </w:rPr>
        <w:t>。</w:t>
      </w:r>
    </w:p>
    <w:p>
      <w:pPr>
        <w:spacing w:line="600" w:lineRule="exact"/>
        <w:ind w:firstLine="640"/>
        <w:rPr>
          <w:rFonts w:ascii="仿宋" w:hAnsi="仿宋" w:eastAsia="仿宋" w:cs="仿宋"/>
          <w:sz w:val="32"/>
          <w:szCs w:val="32"/>
        </w:rPr>
      </w:pPr>
      <w:r>
        <w:rPr>
          <w:rFonts w:hint="eastAsia" w:ascii="仿宋_GB2312" w:hAnsi="楷体" w:eastAsia="仿宋_GB2312" w:cs="仿宋_GB2312"/>
          <w:kern w:val="0"/>
          <w:sz w:val="32"/>
          <w:szCs w:val="32"/>
        </w:rPr>
        <w:t>建议政府各部门之间加强沟通协调，梳理现有金融政策与其它八大产业政策之间关系，提高九大产业政策协同性。新出台的金融政策可聚焦于引导天使投资、创业投资、私募股权投资等对集成电路、高端生物医药、先进高分子材料“万亩千亿”</w:t>
      </w:r>
      <w:r>
        <w:rPr>
          <w:rFonts w:hint="eastAsia"/>
        </w:rPr>
        <w:t xml:space="preserve"> </w:t>
      </w:r>
      <w:r>
        <w:rPr>
          <w:rFonts w:hint="eastAsia" w:ascii="仿宋_GB2312" w:hAnsi="楷体" w:eastAsia="仿宋_GB2312" w:cs="仿宋_GB2312"/>
          <w:kern w:val="0"/>
          <w:sz w:val="32"/>
          <w:szCs w:val="32"/>
        </w:rPr>
        <w:t>高质量现代产业体系、高能级科技创新平台建设资金投入</w:t>
      </w:r>
      <w:r>
        <w:rPr>
          <w:rFonts w:hint="eastAsia" w:ascii="仿宋" w:hAnsi="仿宋" w:eastAsia="仿宋" w:cs="仿宋"/>
          <w:sz w:val="32"/>
          <w:szCs w:val="32"/>
        </w:rPr>
        <w:t>。如：对投向重点产业的投资基金，按投资规模配套适当比例奖励政策、鼓励银行等金融机构对重点产业供应链、产业链，提供多元化创新金融服务政策。</w:t>
      </w:r>
    </w:p>
    <w:p>
      <w:pPr>
        <w:spacing w:line="600" w:lineRule="exact"/>
        <w:ind w:firstLine="640"/>
        <w:rPr>
          <w:rFonts w:hint="eastAsia" w:ascii="Times New Roman" w:hAnsi="Times New Roman" w:eastAsia="楷体"/>
          <w:sz w:val="32"/>
          <w:szCs w:val="32"/>
          <w:lang w:eastAsia="zh-CN"/>
        </w:rPr>
      </w:pPr>
      <w:r>
        <w:rPr>
          <w:rFonts w:hint="eastAsia" w:ascii="楷体" w:hAnsi="楷体" w:eastAsia="楷体" w:cs="仿宋_GB2312"/>
          <w:b/>
          <w:bCs/>
          <w:kern w:val="0"/>
          <w:sz w:val="32"/>
          <w:szCs w:val="32"/>
        </w:rPr>
        <w:t>（三）全面梳理区（县、市）现行政策，完善与市级金融政策绩效目标关联度不高个性化政策</w:t>
      </w:r>
      <w:r>
        <w:rPr>
          <w:rFonts w:hint="eastAsia" w:ascii="楷体" w:hAnsi="楷体" w:eastAsia="楷体" w:cs="仿宋_GB2312"/>
          <w:b/>
          <w:bCs/>
          <w:kern w:val="0"/>
          <w:sz w:val="32"/>
          <w:szCs w:val="32"/>
          <w:lang w:eastAsia="zh-CN"/>
        </w:rPr>
        <w:t>。</w:t>
      </w:r>
    </w:p>
    <w:p>
      <w:pPr>
        <w:adjustRightInd w:val="0"/>
        <w:snapToGrid w:val="0"/>
        <w:spacing w:line="600" w:lineRule="exact"/>
        <w:ind w:firstLine="640" w:firstLineChars="200"/>
        <w:rPr>
          <w:rFonts w:ascii="楷体" w:hAnsi="楷体" w:eastAsia="楷体" w:cs="仿宋_GB2312"/>
          <w:b/>
          <w:bCs/>
          <w:kern w:val="0"/>
          <w:sz w:val="32"/>
          <w:szCs w:val="32"/>
        </w:rPr>
      </w:pPr>
      <w:r>
        <w:rPr>
          <w:rFonts w:hint="eastAsia" w:ascii="仿宋_GB2312" w:eastAsia="仿宋_GB2312"/>
          <w:sz w:val="32"/>
          <w:szCs w:val="32"/>
        </w:rPr>
        <w:t>建议各县（市、区）金融办对目前自行出台的金融政策与市级政策进行梳理和对应，修订或废止目前与市级金融政策绩效目标关联度不高个性化政策，使县（市、区）金融政策充分落实市级政策导向。如：诸暨市金融办应及时废止目前</w:t>
      </w:r>
      <w:r>
        <w:rPr>
          <w:rFonts w:hint="eastAsia" w:ascii="仿宋_GB2312" w:hAnsi="楷体" w:eastAsia="仿宋_GB2312" w:cs="仿宋_GB2312"/>
          <w:kern w:val="0"/>
          <w:sz w:val="32"/>
          <w:szCs w:val="32"/>
        </w:rPr>
        <w:t>企业税收先征后返奖励政策、柯桥区金融办应及时废止或修订市值管理相关政策。</w:t>
      </w:r>
    </w:p>
    <w:p>
      <w:pPr>
        <w:spacing w:line="600" w:lineRule="exact"/>
        <w:rPr>
          <w:rFonts w:ascii="黑体" w:hAnsi="黑体" w:eastAsia="黑体" w:cs="仿宋_GB2312"/>
          <w:kern w:val="0"/>
          <w:sz w:val="32"/>
          <w:szCs w:val="32"/>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3392948"/>
    </w:sdtPr>
    <w:sdtContent>
      <w:p>
        <w:pPr>
          <w:pStyle w:val="5"/>
          <w:jc w:val="center"/>
        </w:pPr>
        <w:r>
          <w:fldChar w:fldCharType="begin"/>
        </w:r>
        <w:r>
          <w:instrText xml:space="preserve">PAGE   \* MERGEFORMAT</w:instrText>
        </w:r>
        <w:r>
          <w:fldChar w:fldCharType="separate"/>
        </w:r>
        <w:r>
          <w:rPr>
            <w:lang w:val="zh-CN"/>
          </w:rPr>
          <w:t>17</w:t>
        </w:r>
        <w:r>
          <w:fldChar w:fldCharType="end"/>
        </w:r>
      </w:p>
    </w:sdtContent>
  </w:sdt>
  <w:p>
    <w:pPr>
      <w:pStyle w:val="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7"/>
      </w:pPr>
      <w:r>
        <w:rPr>
          <w:rStyle w:val="13"/>
        </w:rPr>
        <w:footnoteRef/>
      </w:r>
      <w:r>
        <w:t xml:space="preserve"> </w:t>
      </w:r>
      <w:r>
        <w:rPr>
          <w:rFonts w:hint="eastAsia" w:ascii="仿宋_GB2312" w:hAnsi="仿宋_GB2312" w:eastAsia="仿宋_GB2312" w:cs="仿宋_GB2312"/>
          <w:sz w:val="22"/>
        </w:rPr>
        <w:t>本次评价结果根据综合得分率划分为四个档：90（含）—100分为优、80（含）—90分为良、60（含）—80分为中、60分以下为差。</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D8D2B7"/>
    <w:multiLevelType w:val="singleLevel"/>
    <w:tmpl w:val="0FD8D2B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4D4"/>
    <w:rsid w:val="000014E0"/>
    <w:rsid w:val="00003D8C"/>
    <w:rsid w:val="00005A0C"/>
    <w:rsid w:val="0000655A"/>
    <w:rsid w:val="0001126A"/>
    <w:rsid w:val="000118FC"/>
    <w:rsid w:val="00012DF9"/>
    <w:rsid w:val="00013EA7"/>
    <w:rsid w:val="00015BCC"/>
    <w:rsid w:val="000175FA"/>
    <w:rsid w:val="000200CA"/>
    <w:rsid w:val="00036C95"/>
    <w:rsid w:val="000376A4"/>
    <w:rsid w:val="00060ED6"/>
    <w:rsid w:val="00067EFC"/>
    <w:rsid w:val="00081F01"/>
    <w:rsid w:val="00085B2B"/>
    <w:rsid w:val="0008758E"/>
    <w:rsid w:val="00087E5C"/>
    <w:rsid w:val="000920B3"/>
    <w:rsid w:val="000954AE"/>
    <w:rsid w:val="00097EFB"/>
    <w:rsid w:val="000A0C3B"/>
    <w:rsid w:val="000A2ABD"/>
    <w:rsid w:val="000A4E47"/>
    <w:rsid w:val="000B0146"/>
    <w:rsid w:val="000C37C2"/>
    <w:rsid w:val="000D01B8"/>
    <w:rsid w:val="000D5B01"/>
    <w:rsid w:val="000E32CA"/>
    <w:rsid w:val="000E3473"/>
    <w:rsid w:val="000E77A1"/>
    <w:rsid w:val="00101FB4"/>
    <w:rsid w:val="0010475C"/>
    <w:rsid w:val="00104F43"/>
    <w:rsid w:val="001128E7"/>
    <w:rsid w:val="00114E15"/>
    <w:rsid w:val="0011583C"/>
    <w:rsid w:val="00120B01"/>
    <w:rsid w:val="00124B47"/>
    <w:rsid w:val="00131AD7"/>
    <w:rsid w:val="00131B88"/>
    <w:rsid w:val="00132181"/>
    <w:rsid w:val="001333E2"/>
    <w:rsid w:val="001363DB"/>
    <w:rsid w:val="00137224"/>
    <w:rsid w:val="001408FA"/>
    <w:rsid w:val="00141E03"/>
    <w:rsid w:val="00147BBC"/>
    <w:rsid w:val="00154D70"/>
    <w:rsid w:val="0015532A"/>
    <w:rsid w:val="00156E50"/>
    <w:rsid w:val="001608C2"/>
    <w:rsid w:val="00163077"/>
    <w:rsid w:val="0016686B"/>
    <w:rsid w:val="00167380"/>
    <w:rsid w:val="0017124A"/>
    <w:rsid w:val="001733D5"/>
    <w:rsid w:val="00173C5B"/>
    <w:rsid w:val="0017452A"/>
    <w:rsid w:val="0018081C"/>
    <w:rsid w:val="00183BE8"/>
    <w:rsid w:val="001843B5"/>
    <w:rsid w:val="00185269"/>
    <w:rsid w:val="001948EC"/>
    <w:rsid w:val="00196438"/>
    <w:rsid w:val="00197044"/>
    <w:rsid w:val="001A24F6"/>
    <w:rsid w:val="001B10E4"/>
    <w:rsid w:val="001B2FB7"/>
    <w:rsid w:val="001B49EE"/>
    <w:rsid w:val="001C4C70"/>
    <w:rsid w:val="001D1276"/>
    <w:rsid w:val="001D3067"/>
    <w:rsid w:val="001D430F"/>
    <w:rsid w:val="001D5344"/>
    <w:rsid w:val="001D5A57"/>
    <w:rsid w:val="001D6277"/>
    <w:rsid w:val="001D7C14"/>
    <w:rsid w:val="001E33C3"/>
    <w:rsid w:val="001F0706"/>
    <w:rsid w:val="001F126C"/>
    <w:rsid w:val="001F1BF0"/>
    <w:rsid w:val="00200F15"/>
    <w:rsid w:val="00201169"/>
    <w:rsid w:val="00202003"/>
    <w:rsid w:val="002028CF"/>
    <w:rsid w:val="00212B94"/>
    <w:rsid w:val="0021441B"/>
    <w:rsid w:val="002162C2"/>
    <w:rsid w:val="00216D58"/>
    <w:rsid w:val="00223E46"/>
    <w:rsid w:val="00230A01"/>
    <w:rsid w:val="002310D5"/>
    <w:rsid w:val="0023716F"/>
    <w:rsid w:val="00240EE7"/>
    <w:rsid w:val="00242B7C"/>
    <w:rsid w:val="00243386"/>
    <w:rsid w:val="00244CE5"/>
    <w:rsid w:val="002460B7"/>
    <w:rsid w:val="002462CF"/>
    <w:rsid w:val="0026572C"/>
    <w:rsid w:val="00272722"/>
    <w:rsid w:val="002802CB"/>
    <w:rsid w:val="0028074A"/>
    <w:rsid w:val="00280CA0"/>
    <w:rsid w:val="0028140D"/>
    <w:rsid w:val="00284D44"/>
    <w:rsid w:val="002950A3"/>
    <w:rsid w:val="002A46C6"/>
    <w:rsid w:val="002A4F87"/>
    <w:rsid w:val="002C07FB"/>
    <w:rsid w:val="002C0954"/>
    <w:rsid w:val="002C2DE3"/>
    <w:rsid w:val="002C30AF"/>
    <w:rsid w:val="002C795C"/>
    <w:rsid w:val="002D57AD"/>
    <w:rsid w:val="002E25AC"/>
    <w:rsid w:val="002F0FC5"/>
    <w:rsid w:val="002F359B"/>
    <w:rsid w:val="002F6F07"/>
    <w:rsid w:val="0030064E"/>
    <w:rsid w:val="003039CD"/>
    <w:rsid w:val="0030515B"/>
    <w:rsid w:val="00307B17"/>
    <w:rsid w:val="003173F2"/>
    <w:rsid w:val="00327A0D"/>
    <w:rsid w:val="0033056C"/>
    <w:rsid w:val="00332EE9"/>
    <w:rsid w:val="00340A75"/>
    <w:rsid w:val="00342F8C"/>
    <w:rsid w:val="00343556"/>
    <w:rsid w:val="00346993"/>
    <w:rsid w:val="003502AA"/>
    <w:rsid w:val="00361234"/>
    <w:rsid w:val="0036563A"/>
    <w:rsid w:val="003659E0"/>
    <w:rsid w:val="00374014"/>
    <w:rsid w:val="003749FD"/>
    <w:rsid w:val="00376E08"/>
    <w:rsid w:val="003809DB"/>
    <w:rsid w:val="00380B46"/>
    <w:rsid w:val="0038407B"/>
    <w:rsid w:val="003844A6"/>
    <w:rsid w:val="00385349"/>
    <w:rsid w:val="00390D85"/>
    <w:rsid w:val="003938F4"/>
    <w:rsid w:val="00396F58"/>
    <w:rsid w:val="00397AC9"/>
    <w:rsid w:val="003A09B2"/>
    <w:rsid w:val="003A0C4B"/>
    <w:rsid w:val="003A2665"/>
    <w:rsid w:val="003A2DFD"/>
    <w:rsid w:val="003A49D8"/>
    <w:rsid w:val="003A661F"/>
    <w:rsid w:val="003A6645"/>
    <w:rsid w:val="003B000F"/>
    <w:rsid w:val="003B4612"/>
    <w:rsid w:val="003C3B89"/>
    <w:rsid w:val="003C59D5"/>
    <w:rsid w:val="003E0BD9"/>
    <w:rsid w:val="003E1590"/>
    <w:rsid w:val="003E3347"/>
    <w:rsid w:val="003E4997"/>
    <w:rsid w:val="003E4D9A"/>
    <w:rsid w:val="004003B3"/>
    <w:rsid w:val="00403645"/>
    <w:rsid w:val="004037A5"/>
    <w:rsid w:val="00404744"/>
    <w:rsid w:val="004056B0"/>
    <w:rsid w:val="00406E67"/>
    <w:rsid w:val="00407DA9"/>
    <w:rsid w:val="0041460E"/>
    <w:rsid w:val="00416FF0"/>
    <w:rsid w:val="00420A42"/>
    <w:rsid w:val="0042579D"/>
    <w:rsid w:val="00433C3C"/>
    <w:rsid w:val="004344B0"/>
    <w:rsid w:val="00434DCF"/>
    <w:rsid w:val="004369FF"/>
    <w:rsid w:val="00436B13"/>
    <w:rsid w:val="0044314A"/>
    <w:rsid w:val="00443DB3"/>
    <w:rsid w:val="004448C6"/>
    <w:rsid w:val="0044586A"/>
    <w:rsid w:val="00456CB8"/>
    <w:rsid w:val="0046082D"/>
    <w:rsid w:val="00464565"/>
    <w:rsid w:val="00470F77"/>
    <w:rsid w:val="0047440D"/>
    <w:rsid w:val="00482973"/>
    <w:rsid w:val="0048379E"/>
    <w:rsid w:val="0048382D"/>
    <w:rsid w:val="004879D1"/>
    <w:rsid w:val="00492749"/>
    <w:rsid w:val="004928B0"/>
    <w:rsid w:val="00494B13"/>
    <w:rsid w:val="00496006"/>
    <w:rsid w:val="004967CB"/>
    <w:rsid w:val="004A25D8"/>
    <w:rsid w:val="004A2F78"/>
    <w:rsid w:val="004A5AFE"/>
    <w:rsid w:val="004A7044"/>
    <w:rsid w:val="004B1CB5"/>
    <w:rsid w:val="004B26D2"/>
    <w:rsid w:val="004B66DC"/>
    <w:rsid w:val="004C51E0"/>
    <w:rsid w:val="004D0D08"/>
    <w:rsid w:val="004D446A"/>
    <w:rsid w:val="004E4618"/>
    <w:rsid w:val="004F7AFC"/>
    <w:rsid w:val="0050212F"/>
    <w:rsid w:val="00503BB1"/>
    <w:rsid w:val="00504326"/>
    <w:rsid w:val="0050456F"/>
    <w:rsid w:val="00504EC8"/>
    <w:rsid w:val="00505B01"/>
    <w:rsid w:val="00505E31"/>
    <w:rsid w:val="00513EEE"/>
    <w:rsid w:val="00520D03"/>
    <w:rsid w:val="00530139"/>
    <w:rsid w:val="00531DB1"/>
    <w:rsid w:val="005334F3"/>
    <w:rsid w:val="00533D8B"/>
    <w:rsid w:val="00541A42"/>
    <w:rsid w:val="00542D52"/>
    <w:rsid w:val="00546299"/>
    <w:rsid w:val="0055178C"/>
    <w:rsid w:val="005565F7"/>
    <w:rsid w:val="00565830"/>
    <w:rsid w:val="00576235"/>
    <w:rsid w:val="00580544"/>
    <w:rsid w:val="00581F79"/>
    <w:rsid w:val="005849EC"/>
    <w:rsid w:val="00585FFC"/>
    <w:rsid w:val="00587CE1"/>
    <w:rsid w:val="005924FA"/>
    <w:rsid w:val="00593E57"/>
    <w:rsid w:val="005A0E2E"/>
    <w:rsid w:val="005A200B"/>
    <w:rsid w:val="005A449A"/>
    <w:rsid w:val="005A6698"/>
    <w:rsid w:val="005A7662"/>
    <w:rsid w:val="005C200E"/>
    <w:rsid w:val="005C21B5"/>
    <w:rsid w:val="005C240F"/>
    <w:rsid w:val="005C3894"/>
    <w:rsid w:val="005C5611"/>
    <w:rsid w:val="005D19E1"/>
    <w:rsid w:val="005D2EAC"/>
    <w:rsid w:val="005D3BD8"/>
    <w:rsid w:val="005D3DE8"/>
    <w:rsid w:val="005D5D2F"/>
    <w:rsid w:val="005D672A"/>
    <w:rsid w:val="005E1885"/>
    <w:rsid w:val="005E1EA6"/>
    <w:rsid w:val="005F5091"/>
    <w:rsid w:val="00603907"/>
    <w:rsid w:val="00604FAB"/>
    <w:rsid w:val="006051B7"/>
    <w:rsid w:val="00607A1D"/>
    <w:rsid w:val="00607F88"/>
    <w:rsid w:val="00610796"/>
    <w:rsid w:val="00610E4C"/>
    <w:rsid w:val="00614AF1"/>
    <w:rsid w:val="00614FF7"/>
    <w:rsid w:val="00616842"/>
    <w:rsid w:val="00621C15"/>
    <w:rsid w:val="00622F2F"/>
    <w:rsid w:val="006231B9"/>
    <w:rsid w:val="0062540E"/>
    <w:rsid w:val="00626DF7"/>
    <w:rsid w:val="00634906"/>
    <w:rsid w:val="006365A1"/>
    <w:rsid w:val="0063732A"/>
    <w:rsid w:val="00640607"/>
    <w:rsid w:val="0064125F"/>
    <w:rsid w:val="006453F0"/>
    <w:rsid w:val="006516AF"/>
    <w:rsid w:val="00663B0D"/>
    <w:rsid w:val="00663B12"/>
    <w:rsid w:val="006708D8"/>
    <w:rsid w:val="00672E2E"/>
    <w:rsid w:val="0067722D"/>
    <w:rsid w:val="00681295"/>
    <w:rsid w:val="00690A8C"/>
    <w:rsid w:val="00691011"/>
    <w:rsid w:val="00691B7F"/>
    <w:rsid w:val="00696C4A"/>
    <w:rsid w:val="006A4000"/>
    <w:rsid w:val="006A78EC"/>
    <w:rsid w:val="006B19F6"/>
    <w:rsid w:val="006C11A4"/>
    <w:rsid w:val="006C43E4"/>
    <w:rsid w:val="006C503A"/>
    <w:rsid w:val="006D1C66"/>
    <w:rsid w:val="006D2DA7"/>
    <w:rsid w:val="006D2F96"/>
    <w:rsid w:val="006D3178"/>
    <w:rsid w:val="006D36CF"/>
    <w:rsid w:val="006D3FAF"/>
    <w:rsid w:val="006E1A63"/>
    <w:rsid w:val="006E2D13"/>
    <w:rsid w:val="006E3CC1"/>
    <w:rsid w:val="006E3EA3"/>
    <w:rsid w:val="006E6957"/>
    <w:rsid w:val="006F5B2C"/>
    <w:rsid w:val="0070044A"/>
    <w:rsid w:val="00702EE7"/>
    <w:rsid w:val="00702F8A"/>
    <w:rsid w:val="00705B52"/>
    <w:rsid w:val="00705F19"/>
    <w:rsid w:val="00714813"/>
    <w:rsid w:val="00721A51"/>
    <w:rsid w:val="00725A3F"/>
    <w:rsid w:val="00727317"/>
    <w:rsid w:val="0073236A"/>
    <w:rsid w:val="007335BE"/>
    <w:rsid w:val="007345E1"/>
    <w:rsid w:val="00741942"/>
    <w:rsid w:val="00750971"/>
    <w:rsid w:val="00751F1B"/>
    <w:rsid w:val="007572AF"/>
    <w:rsid w:val="0075747A"/>
    <w:rsid w:val="007613D2"/>
    <w:rsid w:val="00761BF8"/>
    <w:rsid w:val="00773A62"/>
    <w:rsid w:val="00774147"/>
    <w:rsid w:val="00777224"/>
    <w:rsid w:val="007928B6"/>
    <w:rsid w:val="00794295"/>
    <w:rsid w:val="00795D7A"/>
    <w:rsid w:val="007964D4"/>
    <w:rsid w:val="00796577"/>
    <w:rsid w:val="007978C8"/>
    <w:rsid w:val="007A0335"/>
    <w:rsid w:val="007A3887"/>
    <w:rsid w:val="007A3F2F"/>
    <w:rsid w:val="007A7C0A"/>
    <w:rsid w:val="007B5654"/>
    <w:rsid w:val="007B72F4"/>
    <w:rsid w:val="007B733E"/>
    <w:rsid w:val="007C3BA8"/>
    <w:rsid w:val="007C4C77"/>
    <w:rsid w:val="007C7679"/>
    <w:rsid w:val="007D2598"/>
    <w:rsid w:val="007D260C"/>
    <w:rsid w:val="007E6E85"/>
    <w:rsid w:val="007E7423"/>
    <w:rsid w:val="007F6C7D"/>
    <w:rsid w:val="007F6FE5"/>
    <w:rsid w:val="007F7C7D"/>
    <w:rsid w:val="00803077"/>
    <w:rsid w:val="008068C5"/>
    <w:rsid w:val="00811C96"/>
    <w:rsid w:val="008247E2"/>
    <w:rsid w:val="0082667E"/>
    <w:rsid w:val="00831212"/>
    <w:rsid w:val="00834048"/>
    <w:rsid w:val="0084357A"/>
    <w:rsid w:val="00843585"/>
    <w:rsid w:val="00844F28"/>
    <w:rsid w:val="00845059"/>
    <w:rsid w:val="00845289"/>
    <w:rsid w:val="00846BB9"/>
    <w:rsid w:val="00860960"/>
    <w:rsid w:val="00863C8D"/>
    <w:rsid w:val="0086406C"/>
    <w:rsid w:val="00864CB7"/>
    <w:rsid w:val="00865A42"/>
    <w:rsid w:val="00871714"/>
    <w:rsid w:val="0087421F"/>
    <w:rsid w:val="00874498"/>
    <w:rsid w:val="00887751"/>
    <w:rsid w:val="00894A44"/>
    <w:rsid w:val="0089606F"/>
    <w:rsid w:val="008966C1"/>
    <w:rsid w:val="00896A33"/>
    <w:rsid w:val="008978CE"/>
    <w:rsid w:val="008A06BB"/>
    <w:rsid w:val="008A70D5"/>
    <w:rsid w:val="008B1445"/>
    <w:rsid w:val="008B27B1"/>
    <w:rsid w:val="008B3582"/>
    <w:rsid w:val="008B3D57"/>
    <w:rsid w:val="008B41D6"/>
    <w:rsid w:val="008B6A20"/>
    <w:rsid w:val="008B6F93"/>
    <w:rsid w:val="008C28D1"/>
    <w:rsid w:val="008C46C2"/>
    <w:rsid w:val="008C4F0C"/>
    <w:rsid w:val="008D0F81"/>
    <w:rsid w:val="008D44DD"/>
    <w:rsid w:val="008D7124"/>
    <w:rsid w:val="008D7655"/>
    <w:rsid w:val="008F11FE"/>
    <w:rsid w:val="008F1CAC"/>
    <w:rsid w:val="008F6815"/>
    <w:rsid w:val="008F7F2D"/>
    <w:rsid w:val="00903517"/>
    <w:rsid w:val="00914292"/>
    <w:rsid w:val="0092111B"/>
    <w:rsid w:val="0092361F"/>
    <w:rsid w:val="00925E83"/>
    <w:rsid w:val="00930AE7"/>
    <w:rsid w:val="0093252B"/>
    <w:rsid w:val="00934617"/>
    <w:rsid w:val="009351B1"/>
    <w:rsid w:val="00935431"/>
    <w:rsid w:val="009369E9"/>
    <w:rsid w:val="00936A77"/>
    <w:rsid w:val="00937E8D"/>
    <w:rsid w:val="00941ABE"/>
    <w:rsid w:val="00946993"/>
    <w:rsid w:val="009533F0"/>
    <w:rsid w:val="0095428A"/>
    <w:rsid w:val="009609F5"/>
    <w:rsid w:val="00965E9F"/>
    <w:rsid w:val="00967B5A"/>
    <w:rsid w:val="00971EA1"/>
    <w:rsid w:val="0097307D"/>
    <w:rsid w:val="0097446D"/>
    <w:rsid w:val="00980577"/>
    <w:rsid w:val="00980A78"/>
    <w:rsid w:val="00982126"/>
    <w:rsid w:val="0098723D"/>
    <w:rsid w:val="00990606"/>
    <w:rsid w:val="009A55DA"/>
    <w:rsid w:val="009A7176"/>
    <w:rsid w:val="009B0DBD"/>
    <w:rsid w:val="009B159F"/>
    <w:rsid w:val="009B5D21"/>
    <w:rsid w:val="009B7F6E"/>
    <w:rsid w:val="009C29CA"/>
    <w:rsid w:val="009C4B51"/>
    <w:rsid w:val="009D2B41"/>
    <w:rsid w:val="009D4B3C"/>
    <w:rsid w:val="009E123A"/>
    <w:rsid w:val="009E2151"/>
    <w:rsid w:val="009E3CBF"/>
    <w:rsid w:val="009E5BF2"/>
    <w:rsid w:val="009F211D"/>
    <w:rsid w:val="009F3F12"/>
    <w:rsid w:val="009F5CDC"/>
    <w:rsid w:val="009F704B"/>
    <w:rsid w:val="009F7D2B"/>
    <w:rsid w:val="00A02C40"/>
    <w:rsid w:val="00A04323"/>
    <w:rsid w:val="00A04ECA"/>
    <w:rsid w:val="00A12462"/>
    <w:rsid w:val="00A15FD6"/>
    <w:rsid w:val="00A206DE"/>
    <w:rsid w:val="00A27E5A"/>
    <w:rsid w:val="00A27F92"/>
    <w:rsid w:val="00A378E3"/>
    <w:rsid w:val="00A4179C"/>
    <w:rsid w:val="00A43B91"/>
    <w:rsid w:val="00A46E4E"/>
    <w:rsid w:val="00A50B82"/>
    <w:rsid w:val="00A51BC9"/>
    <w:rsid w:val="00A71015"/>
    <w:rsid w:val="00A71ACD"/>
    <w:rsid w:val="00A77A9E"/>
    <w:rsid w:val="00A86376"/>
    <w:rsid w:val="00A95B03"/>
    <w:rsid w:val="00AA4178"/>
    <w:rsid w:val="00AB46E7"/>
    <w:rsid w:val="00AB7B7D"/>
    <w:rsid w:val="00AC0DF1"/>
    <w:rsid w:val="00AC2789"/>
    <w:rsid w:val="00AC3460"/>
    <w:rsid w:val="00AC4591"/>
    <w:rsid w:val="00AC7474"/>
    <w:rsid w:val="00AD21EF"/>
    <w:rsid w:val="00AD532C"/>
    <w:rsid w:val="00AD705D"/>
    <w:rsid w:val="00AF0080"/>
    <w:rsid w:val="00AF3EE6"/>
    <w:rsid w:val="00B03562"/>
    <w:rsid w:val="00B037D6"/>
    <w:rsid w:val="00B0454C"/>
    <w:rsid w:val="00B10A3E"/>
    <w:rsid w:val="00B131CA"/>
    <w:rsid w:val="00B16D4F"/>
    <w:rsid w:val="00B16D80"/>
    <w:rsid w:val="00B20643"/>
    <w:rsid w:val="00B209FD"/>
    <w:rsid w:val="00B24971"/>
    <w:rsid w:val="00B25067"/>
    <w:rsid w:val="00B33EAE"/>
    <w:rsid w:val="00B3479B"/>
    <w:rsid w:val="00B4253C"/>
    <w:rsid w:val="00B43114"/>
    <w:rsid w:val="00B437EE"/>
    <w:rsid w:val="00B50CCD"/>
    <w:rsid w:val="00B60246"/>
    <w:rsid w:val="00B64820"/>
    <w:rsid w:val="00B65BED"/>
    <w:rsid w:val="00B6604F"/>
    <w:rsid w:val="00B72A9A"/>
    <w:rsid w:val="00B72FF9"/>
    <w:rsid w:val="00B73B84"/>
    <w:rsid w:val="00B753D0"/>
    <w:rsid w:val="00B755CA"/>
    <w:rsid w:val="00B77ABB"/>
    <w:rsid w:val="00B81787"/>
    <w:rsid w:val="00B83206"/>
    <w:rsid w:val="00B8452C"/>
    <w:rsid w:val="00B8552D"/>
    <w:rsid w:val="00B94FC2"/>
    <w:rsid w:val="00B970C2"/>
    <w:rsid w:val="00BA061D"/>
    <w:rsid w:val="00BA4E08"/>
    <w:rsid w:val="00BC2565"/>
    <w:rsid w:val="00BC59FC"/>
    <w:rsid w:val="00BD02AE"/>
    <w:rsid w:val="00BD2CF4"/>
    <w:rsid w:val="00BD65C1"/>
    <w:rsid w:val="00BE514C"/>
    <w:rsid w:val="00BE658E"/>
    <w:rsid w:val="00BF20EF"/>
    <w:rsid w:val="00BF25C2"/>
    <w:rsid w:val="00BF2886"/>
    <w:rsid w:val="00BF2F47"/>
    <w:rsid w:val="00BF37BC"/>
    <w:rsid w:val="00C01082"/>
    <w:rsid w:val="00C119AD"/>
    <w:rsid w:val="00C12637"/>
    <w:rsid w:val="00C13A81"/>
    <w:rsid w:val="00C22848"/>
    <w:rsid w:val="00C234B4"/>
    <w:rsid w:val="00C24543"/>
    <w:rsid w:val="00C25BED"/>
    <w:rsid w:val="00C267C2"/>
    <w:rsid w:val="00C30ED1"/>
    <w:rsid w:val="00C326EB"/>
    <w:rsid w:val="00C34CBB"/>
    <w:rsid w:val="00C46DF4"/>
    <w:rsid w:val="00C52DE5"/>
    <w:rsid w:val="00C53990"/>
    <w:rsid w:val="00C56566"/>
    <w:rsid w:val="00C5700E"/>
    <w:rsid w:val="00C63008"/>
    <w:rsid w:val="00C652FD"/>
    <w:rsid w:val="00C661E0"/>
    <w:rsid w:val="00C6745B"/>
    <w:rsid w:val="00C73CE1"/>
    <w:rsid w:val="00C74FB8"/>
    <w:rsid w:val="00C75954"/>
    <w:rsid w:val="00C82004"/>
    <w:rsid w:val="00C83A20"/>
    <w:rsid w:val="00C858B8"/>
    <w:rsid w:val="00C8738A"/>
    <w:rsid w:val="00CA2D70"/>
    <w:rsid w:val="00CA3C41"/>
    <w:rsid w:val="00CA6AFE"/>
    <w:rsid w:val="00CB1130"/>
    <w:rsid w:val="00CD22B0"/>
    <w:rsid w:val="00CE7184"/>
    <w:rsid w:val="00CF12AE"/>
    <w:rsid w:val="00D0124B"/>
    <w:rsid w:val="00D03A95"/>
    <w:rsid w:val="00D03DE6"/>
    <w:rsid w:val="00D0679E"/>
    <w:rsid w:val="00D15612"/>
    <w:rsid w:val="00D1640E"/>
    <w:rsid w:val="00D22B69"/>
    <w:rsid w:val="00D2400A"/>
    <w:rsid w:val="00D31A8A"/>
    <w:rsid w:val="00D328DC"/>
    <w:rsid w:val="00D3311D"/>
    <w:rsid w:val="00D33928"/>
    <w:rsid w:val="00D4060A"/>
    <w:rsid w:val="00D431CE"/>
    <w:rsid w:val="00D44A1A"/>
    <w:rsid w:val="00D456FB"/>
    <w:rsid w:val="00D5046D"/>
    <w:rsid w:val="00D54151"/>
    <w:rsid w:val="00D56026"/>
    <w:rsid w:val="00D565B2"/>
    <w:rsid w:val="00D6337E"/>
    <w:rsid w:val="00D7241A"/>
    <w:rsid w:val="00D86C05"/>
    <w:rsid w:val="00D94CB1"/>
    <w:rsid w:val="00DA094A"/>
    <w:rsid w:val="00DA1B7E"/>
    <w:rsid w:val="00DB0F8D"/>
    <w:rsid w:val="00DB2289"/>
    <w:rsid w:val="00DB62B6"/>
    <w:rsid w:val="00DB7983"/>
    <w:rsid w:val="00DC3501"/>
    <w:rsid w:val="00DC4A0A"/>
    <w:rsid w:val="00DC6C95"/>
    <w:rsid w:val="00DD0F49"/>
    <w:rsid w:val="00DD1063"/>
    <w:rsid w:val="00DD1363"/>
    <w:rsid w:val="00DD14D6"/>
    <w:rsid w:val="00DE164C"/>
    <w:rsid w:val="00DE1AD2"/>
    <w:rsid w:val="00DE5ED4"/>
    <w:rsid w:val="00DF49FC"/>
    <w:rsid w:val="00DF58A0"/>
    <w:rsid w:val="00E052EF"/>
    <w:rsid w:val="00E07DAF"/>
    <w:rsid w:val="00E1155F"/>
    <w:rsid w:val="00E21EEC"/>
    <w:rsid w:val="00E2278B"/>
    <w:rsid w:val="00E23ABC"/>
    <w:rsid w:val="00E316FE"/>
    <w:rsid w:val="00E40D4F"/>
    <w:rsid w:val="00E44DFE"/>
    <w:rsid w:val="00E53328"/>
    <w:rsid w:val="00E557E2"/>
    <w:rsid w:val="00E5677D"/>
    <w:rsid w:val="00E65B3D"/>
    <w:rsid w:val="00E71843"/>
    <w:rsid w:val="00E72D4B"/>
    <w:rsid w:val="00E7307A"/>
    <w:rsid w:val="00E73DCC"/>
    <w:rsid w:val="00E7691F"/>
    <w:rsid w:val="00E8450D"/>
    <w:rsid w:val="00E84A7B"/>
    <w:rsid w:val="00E84A83"/>
    <w:rsid w:val="00E90F7C"/>
    <w:rsid w:val="00E90F91"/>
    <w:rsid w:val="00E976B8"/>
    <w:rsid w:val="00EA155B"/>
    <w:rsid w:val="00EA267B"/>
    <w:rsid w:val="00EA4A32"/>
    <w:rsid w:val="00EA4E4C"/>
    <w:rsid w:val="00EA6206"/>
    <w:rsid w:val="00EA7447"/>
    <w:rsid w:val="00EB0D1F"/>
    <w:rsid w:val="00EB1186"/>
    <w:rsid w:val="00EB2763"/>
    <w:rsid w:val="00EB2A8F"/>
    <w:rsid w:val="00EB4901"/>
    <w:rsid w:val="00EB5722"/>
    <w:rsid w:val="00EB77FB"/>
    <w:rsid w:val="00EB79BB"/>
    <w:rsid w:val="00EC00E2"/>
    <w:rsid w:val="00EC0B0E"/>
    <w:rsid w:val="00EC2AAC"/>
    <w:rsid w:val="00ED05DF"/>
    <w:rsid w:val="00ED0FA7"/>
    <w:rsid w:val="00ED11EE"/>
    <w:rsid w:val="00ED6564"/>
    <w:rsid w:val="00EE1AEB"/>
    <w:rsid w:val="00EE327F"/>
    <w:rsid w:val="00EE4348"/>
    <w:rsid w:val="00EE4C9C"/>
    <w:rsid w:val="00EE63D4"/>
    <w:rsid w:val="00EE7466"/>
    <w:rsid w:val="00EE75D1"/>
    <w:rsid w:val="00EF380A"/>
    <w:rsid w:val="00EF5332"/>
    <w:rsid w:val="00EF5F08"/>
    <w:rsid w:val="00EF753D"/>
    <w:rsid w:val="00F00ECD"/>
    <w:rsid w:val="00F0119A"/>
    <w:rsid w:val="00F020EA"/>
    <w:rsid w:val="00F14029"/>
    <w:rsid w:val="00F15125"/>
    <w:rsid w:val="00F152D6"/>
    <w:rsid w:val="00F16DB0"/>
    <w:rsid w:val="00F20CBD"/>
    <w:rsid w:val="00F23BE4"/>
    <w:rsid w:val="00F2570A"/>
    <w:rsid w:val="00F35CE2"/>
    <w:rsid w:val="00F43FEF"/>
    <w:rsid w:val="00F47BCD"/>
    <w:rsid w:val="00F5062E"/>
    <w:rsid w:val="00F52EA7"/>
    <w:rsid w:val="00F5552E"/>
    <w:rsid w:val="00F57719"/>
    <w:rsid w:val="00F60680"/>
    <w:rsid w:val="00F70F23"/>
    <w:rsid w:val="00F853D4"/>
    <w:rsid w:val="00F90535"/>
    <w:rsid w:val="00F91483"/>
    <w:rsid w:val="00F93F10"/>
    <w:rsid w:val="00FA12DF"/>
    <w:rsid w:val="00FA6427"/>
    <w:rsid w:val="00FB01A0"/>
    <w:rsid w:val="00FC6A33"/>
    <w:rsid w:val="00FD08D0"/>
    <w:rsid w:val="00FD1C27"/>
    <w:rsid w:val="00FD5686"/>
    <w:rsid w:val="00FE246B"/>
    <w:rsid w:val="00FE4393"/>
    <w:rsid w:val="00FE72C3"/>
    <w:rsid w:val="00FF74FC"/>
    <w:rsid w:val="16A71EA4"/>
    <w:rsid w:val="277B5167"/>
    <w:rsid w:val="3FDB443F"/>
    <w:rsid w:val="3FFEF1D0"/>
    <w:rsid w:val="63FFBADF"/>
    <w:rsid w:val="69400DED"/>
    <w:rsid w:val="6AD1F635"/>
    <w:rsid w:val="6F3A1668"/>
    <w:rsid w:val="70F014D2"/>
    <w:rsid w:val="7A3F0FB4"/>
    <w:rsid w:val="7FD533C8"/>
    <w:rsid w:val="7FFE6070"/>
    <w:rsid w:val="B7DFAA13"/>
    <w:rsid w:val="DE7FB8B1"/>
    <w:rsid w:val="EFF88783"/>
    <w:rsid w:val="F87F0AF8"/>
    <w:rsid w:val="FB9F94B4"/>
    <w:rsid w:val="FC7F94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annotation text"/>
    <w:basedOn w:val="1"/>
    <w:link w:val="17"/>
    <w:unhideWhenUsed/>
    <w:qFormat/>
    <w:uiPriority w:val="99"/>
    <w:pPr>
      <w:jc w:val="left"/>
    </w:pPr>
  </w:style>
  <w:style w:type="paragraph" w:styleId="4">
    <w:name w:val="Balloon Text"/>
    <w:basedOn w:val="1"/>
    <w:link w:val="19"/>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footnote text"/>
    <w:basedOn w:val="1"/>
    <w:link w:val="20"/>
    <w:qFormat/>
    <w:uiPriority w:val="0"/>
    <w:pPr>
      <w:snapToGrid w:val="0"/>
      <w:jc w:val="left"/>
    </w:pPr>
    <w:rPr>
      <w:sz w:val="18"/>
    </w:rPr>
  </w:style>
  <w:style w:type="paragraph" w:styleId="8">
    <w:name w:val="annotation subject"/>
    <w:basedOn w:val="3"/>
    <w:next w:val="3"/>
    <w:link w:val="18"/>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unhideWhenUsed/>
    <w:qFormat/>
    <w:uiPriority w:val="99"/>
    <w:rPr>
      <w:sz w:val="21"/>
      <w:szCs w:val="21"/>
    </w:rPr>
  </w:style>
  <w:style w:type="character" w:styleId="13">
    <w:name w:val="footnote reference"/>
    <w:basedOn w:val="11"/>
    <w:qFormat/>
    <w:uiPriority w:val="0"/>
    <w:rPr>
      <w:vertAlign w:val="superscript"/>
    </w:rPr>
  </w:style>
  <w:style w:type="character" w:customStyle="1" w:styleId="14">
    <w:name w:val="页眉 Char"/>
    <w:basedOn w:val="11"/>
    <w:link w:val="6"/>
    <w:qFormat/>
    <w:uiPriority w:val="99"/>
    <w:rPr>
      <w:sz w:val="18"/>
      <w:szCs w:val="18"/>
    </w:rPr>
  </w:style>
  <w:style w:type="character" w:customStyle="1" w:styleId="15">
    <w:name w:val="页脚 Char"/>
    <w:basedOn w:val="11"/>
    <w:link w:val="5"/>
    <w:qFormat/>
    <w:uiPriority w:val="99"/>
    <w:rPr>
      <w:sz w:val="18"/>
      <w:szCs w:val="18"/>
    </w:rPr>
  </w:style>
  <w:style w:type="paragraph" w:customStyle="1" w:styleId="16">
    <w:name w:val="p15"/>
    <w:basedOn w:val="1"/>
    <w:qFormat/>
    <w:uiPriority w:val="0"/>
    <w:pPr>
      <w:widowControl/>
      <w:spacing w:line="360" w:lineRule="auto"/>
      <w:ind w:firstLine="420"/>
    </w:pPr>
    <w:rPr>
      <w:rFonts w:ascii="Times New Roman" w:hAnsi="Times New Roman"/>
      <w:kern w:val="0"/>
      <w:sz w:val="24"/>
      <w:szCs w:val="24"/>
    </w:rPr>
  </w:style>
  <w:style w:type="character" w:customStyle="1" w:styleId="17">
    <w:name w:val="批注文字 Char"/>
    <w:basedOn w:val="11"/>
    <w:link w:val="3"/>
    <w:semiHidden/>
    <w:qFormat/>
    <w:uiPriority w:val="99"/>
    <w:rPr>
      <w:rFonts w:ascii="Calibri" w:hAnsi="Calibri" w:eastAsia="宋体" w:cs="Times New Roman"/>
    </w:rPr>
  </w:style>
  <w:style w:type="character" w:customStyle="1" w:styleId="18">
    <w:name w:val="批注主题 Char"/>
    <w:basedOn w:val="17"/>
    <w:link w:val="8"/>
    <w:semiHidden/>
    <w:qFormat/>
    <w:uiPriority w:val="99"/>
    <w:rPr>
      <w:rFonts w:ascii="Calibri" w:hAnsi="Calibri" w:eastAsia="宋体" w:cs="Times New Roman"/>
      <w:b/>
      <w:bCs/>
    </w:rPr>
  </w:style>
  <w:style w:type="character" w:customStyle="1" w:styleId="19">
    <w:name w:val="批注框文本 Char"/>
    <w:basedOn w:val="11"/>
    <w:link w:val="4"/>
    <w:semiHidden/>
    <w:qFormat/>
    <w:uiPriority w:val="99"/>
    <w:rPr>
      <w:rFonts w:ascii="Calibri" w:hAnsi="Calibri" w:eastAsia="宋体" w:cs="Times New Roman"/>
      <w:sz w:val="18"/>
      <w:szCs w:val="18"/>
    </w:rPr>
  </w:style>
  <w:style w:type="character" w:customStyle="1" w:styleId="20">
    <w:name w:val="脚注文本 Char"/>
    <w:basedOn w:val="11"/>
    <w:link w:val="7"/>
    <w:qFormat/>
    <w:uiPriority w:val="0"/>
    <w:rPr>
      <w:rFonts w:ascii="Calibri" w:hAnsi="Calibri"/>
      <w:kern w:val="2"/>
      <w:sz w:val="18"/>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1698</Words>
  <Characters>9684</Characters>
  <Lines>80</Lines>
  <Paragraphs>22</Paragraphs>
  <TotalTime>16</TotalTime>
  <ScaleCrop>false</ScaleCrop>
  <LinksUpToDate>false</LinksUpToDate>
  <CharactersWithSpaces>11360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2022-05-03T06:44:00Z</dcterms:created>
  <dc:creator>乃晖</dc:creator>
  <cp:lastModifiedBy>sxszf</cp:lastModifiedBy>
  <cp:lastPrinted>2022-05-02T18:39:00Z</cp:lastPrinted>
  <dcterms:modified xsi:type="dcterms:W3CDTF">2022-11-29T09:44:12Z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