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outlineLvl w:val="0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adjustRightInd/>
        <w:snapToGrid/>
        <w:spacing w:line="560" w:lineRule="exact"/>
        <w:jc w:val="center"/>
        <w:outlineLvl w:val="9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绍兴市级政府产业基金202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年度</w:t>
      </w:r>
    </w:p>
    <w:p>
      <w:pPr>
        <w:adjustRightInd/>
        <w:snapToGrid/>
        <w:spacing w:line="560" w:lineRule="exact"/>
        <w:jc w:val="center"/>
        <w:outlineLvl w:val="9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绩效评价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报告</w:t>
      </w:r>
    </w:p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bookmarkStart w:id="0" w:name="zsbm"/>
    </w:p>
    <w:bookmarkEnd w:id="0"/>
    <w:p>
      <w:pPr>
        <w:pStyle w:val="10"/>
        <w:numPr>
          <w:ilvl w:val="0"/>
          <w:numId w:val="1"/>
        </w:numPr>
        <w:spacing w:line="56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年度运行政府产业基金累计投资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85</w:t>
      </w:r>
      <w:r>
        <w:rPr>
          <w:rFonts w:hint="eastAsia" w:ascii="仿宋_GB2312" w:hAnsi="宋体" w:eastAsia="仿宋_GB2312"/>
          <w:sz w:val="32"/>
          <w:szCs w:val="32"/>
        </w:rPr>
        <w:t>个项目，所投领域包括信息经济、健康、高端装备制造、农业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、新材料</w:t>
      </w:r>
      <w:r>
        <w:rPr>
          <w:rFonts w:hint="eastAsia" w:ascii="仿宋_GB2312" w:hAnsi="宋体" w:eastAsia="仿宋_GB2312"/>
          <w:sz w:val="32"/>
          <w:szCs w:val="32"/>
        </w:rPr>
        <w:t>及其他。其中，直接投资基金投资额16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.11亿</w:t>
      </w:r>
      <w:r>
        <w:rPr>
          <w:rFonts w:hint="eastAsia" w:ascii="仿宋_GB2312" w:hAnsi="宋体" w:eastAsia="仿宋_GB2312"/>
          <w:sz w:val="32"/>
          <w:szCs w:val="32"/>
        </w:rPr>
        <w:t>元，带动项目股权投资金额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161.79亿元</w:t>
      </w:r>
      <w:r>
        <w:rPr>
          <w:rFonts w:hint="eastAsia" w:ascii="仿宋_GB2312" w:hAnsi="宋体" w:eastAsia="仿宋_GB2312"/>
          <w:sz w:val="32"/>
          <w:szCs w:val="32"/>
        </w:rPr>
        <w:t>；子基金投资额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101.02亿元</w:t>
      </w:r>
      <w:r>
        <w:rPr>
          <w:rFonts w:hint="eastAsia" w:ascii="仿宋_GB2312" w:hAnsi="宋体" w:eastAsia="仿宋_GB2312"/>
          <w:sz w:val="32"/>
          <w:szCs w:val="32"/>
        </w:rPr>
        <w:t>，带动项目股权投资金额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312.90亿</w:t>
      </w:r>
      <w:r>
        <w:rPr>
          <w:rFonts w:hint="eastAsia" w:ascii="仿宋_GB2312" w:hAnsi="宋体" w:eastAsia="仿宋_GB2312"/>
          <w:sz w:val="32"/>
          <w:szCs w:val="32"/>
        </w:rPr>
        <w:t>元。</w:t>
      </w:r>
    </w:p>
    <w:p>
      <w:pPr>
        <w:pStyle w:val="10"/>
        <w:numPr>
          <w:ilvl w:val="0"/>
          <w:numId w:val="1"/>
        </w:numPr>
        <w:spacing w:line="560" w:lineRule="exact"/>
        <w:ind w:firstLineChars="0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</w:t>
      </w:r>
      <w:r>
        <w:rPr>
          <w:rFonts w:hint="eastAsia" w:ascii="黑体" w:hAnsi="黑体" w:eastAsia="黑体"/>
          <w:sz w:val="32"/>
          <w:szCs w:val="32"/>
          <w:lang w:eastAsia="zh-CN"/>
        </w:rPr>
        <w:t>评价结论</w:t>
      </w:r>
    </w:p>
    <w:p>
      <w:pPr>
        <w:spacing w:line="560" w:lineRule="exact"/>
        <w:ind w:firstLine="570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财政部绩效评价规定，</w:t>
      </w:r>
      <w:r>
        <w:rPr>
          <w:rFonts w:hint="eastAsia" w:ascii="仿宋_GB2312" w:hAnsi="宋体" w:eastAsia="仿宋_GB2312"/>
          <w:sz w:val="32"/>
          <w:szCs w:val="32"/>
        </w:rPr>
        <w:t>绍兴市级政府产业基金202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工作</w:t>
      </w:r>
      <w:r>
        <w:rPr>
          <w:rFonts w:hint="eastAsia" w:ascii="仿宋_GB2312" w:hAnsi="宋体" w:eastAsia="仿宋_GB2312"/>
          <w:sz w:val="32"/>
          <w:szCs w:val="32"/>
        </w:rPr>
        <w:t>评价得分为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94</w:t>
      </w:r>
      <w:r>
        <w:rPr>
          <w:rFonts w:hint="eastAsia" w:ascii="仿宋_GB2312" w:hAnsi="宋体" w:eastAsia="仿宋_GB2312"/>
          <w:sz w:val="32"/>
          <w:szCs w:val="32"/>
        </w:rPr>
        <w:t>分，评价等级为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“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优秀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560" w:lineRule="exact"/>
        <w:ind w:firstLine="570"/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（一）资金收益率</w:t>
      </w:r>
    </w:p>
    <w:p>
      <w:pPr>
        <w:spacing w:line="560" w:lineRule="exact"/>
        <w:ind w:firstLine="57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截至2021年12月31日，市级产业基金综合在投资金使用率为57.4%，累计资金使用率为73.78%，投资回报率基本可达到预期的收益目标</w:t>
      </w:r>
      <w:r>
        <w:rPr>
          <w:rFonts w:hint="eastAsia" w:ascii="仿宋_GB2312" w:hAnsi="宋体" w:eastAsia="仿宋_GB2312"/>
          <w:sz w:val="32"/>
          <w:szCs w:val="32"/>
        </w:rPr>
        <w:t>。</w:t>
      </w:r>
      <w:bookmarkStart w:id="1" w:name="_GoBack"/>
      <w:bookmarkEnd w:id="1"/>
    </w:p>
    <w:p>
      <w:pPr>
        <w:spacing w:line="560" w:lineRule="exact"/>
        <w:ind w:firstLine="570"/>
        <w:outlineLvl w:val="2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新增基金投向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年度新增基金投向符合政府导向。</w:t>
      </w:r>
    </w:p>
    <w:p>
      <w:pPr>
        <w:spacing w:line="560" w:lineRule="exact"/>
        <w:ind w:firstLine="570"/>
        <w:outlineLvl w:val="2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（三）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社会资本带动</w:t>
      </w:r>
    </w:p>
    <w:p>
      <w:pPr>
        <w:pStyle w:val="10"/>
        <w:numPr>
          <w:ilvl w:val="0"/>
          <w:numId w:val="0"/>
        </w:numPr>
        <w:adjustRightInd w:val="0"/>
        <w:snapToGrid w:val="0"/>
        <w:spacing w:line="520" w:lineRule="exact"/>
        <w:ind w:firstLine="640" w:firstLineChars="200"/>
        <w:jc w:val="left"/>
        <w:outlineLvl w:val="2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市级产业基金子基金</w:t>
      </w:r>
      <w:r>
        <w:rPr>
          <w:rFonts w:hint="eastAsia" w:ascii="仿宋_GB2312" w:hAnsi="宋体" w:eastAsia="仿宋_GB2312"/>
          <w:sz w:val="32"/>
          <w:szCs w:val="32"/>
        </w:rPr>
        <w:t>综合带动倍数为2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.93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倍，项目综合带动倍数为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4.28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倍。</w:t>
      </w:r>
    </w:p>
    <w:p>
      <w:pPr>
        <w:pStyle w:val="10"/>
        <w:numPr>
          <w:ilvl w:val="0"/>
          <w:numId w:val="0"/>
        </w:numPr>
        <w:adjustRightInd w:val="0"/>
        <w:snapToGrid w:val="0"/>
        <w:spacing w:line="520" w:lineRule="exact"/>
        <w:ind w:left="570" w:leftChars="0"/>
        <w:outlineLvl w:val="2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（四）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产业提升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政府产业基金较好的带动了目标企业以及对应产业的发展。</w:t>
      </w:r>
    </w:p>
    <w:p>
      <w:pPr>
        <w:pStyle w:val="10"/>
        <w:adjustRightInd w:val="0"/>
        <w:snapToGrid w:val="0"/>
        <w:spacing w:line="520" w:lineRule="exact"/>
        <w:ind w:left="570" w:firstLine="0" w:firstLineChars="0"/>
        <w:outlineLvl w:val="0"/>
        <w:rPr>
          <w:rFonts w:hint="eastAsia" w:ascii="仿宋_GB2312" w:hAns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主要问题</w:t>
      </w:r>
    </w:p>
    <w:p>
      <w:pPr>
        <w:spacing w:line="560" w:lineRule="exact"/>
        <w:ind w:firstLine="570"/>
        <w:outlineLvl w:val="1"/>
        <w:rPr>
          <w:rFonts w:hint="default" w:ascii="仿宋_GB2312" w:hAnsi="宋体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（一）产业基金新增投资相对偏少</w:t>
      </w:r>
    </w:p>
    <w:p>
      <w:pPr>
        <w:spacing w:line="560" w:lineRule="exact"/>
        <w:ind w:firstLine="57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2021年度产业基金新增投资子基金2个，认缴出资1.2元，对外认缴投资相对偏少。</w:t>
      </w:r>
    </w:p>
    <w:p>
      <w:pPr>
        <w:spacing w:line="560" w:lineRule="exact"/>
        <w:ind w:firstLine="570"/>
        <w:outlineLvl w:val="1"/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（二）子基金层社会带动倍数不高</w:t>
      </w:r>
    </w:p>
    <w:p>
      <w:pPr>
        <w:numPr>
          <w:ilvl w:val="0"/>
          <w:numId w:val="0"/>
        </w:numPr>
        <w:adjustRightInd w:val="0"/>
        <w:snapToGrid w:val="0"/>
        <w:spacing w:line="52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  <w:t>2021年度，子基金层面社会带动倍数2.93倍，低于全省平均值，市产业基金社会带动倍数不高。</w:t>
      </w:r>
    </w:p>
    <w:p>
      <w:pPr>
        <w:pStyle w:val="10"/>
        <w:adjustRightInd w:val="0"/>
        <w:snapToGrid w:val="0"/>
        <w:spacing w:line="520" w:lineRule="exact"/>
        <w:ind w:left="570" w:firstLine="0" w:firstLineChars="0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四、对策建议</w:t>
      </w:r>
    </w:p>
    <w:p>
      <w:pPr>
        <w:pStyle w:val="3"/>
        <w:spacing w:line="580" w:lineRule="exact"/>
        <w:ind w:firstLine="643"/>
        <w:rPr>
          <w:rFonts w:hint="eastAsia" w:ascii="仿宋_GB2312" w:hAnsi="宋体" w:eastAsia="仿宋_GB2312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hAnsi="宋体" w:eastAsia="仿宋_GB2312" w:cs="Times New Roman"/>
          <w:b/>
          <w:bCs/>
          <w:kern w:val="2"/>
          <w:sz w:val="32"/>
          <w:szCs w:val="32"/>
          <w:lang w:val="en-US" w:eastAsia="zh-CN"/>
        </w:rPr>
        <w:t>（一）</w:t>
      </w:r>
      <w:r>
        <w:rPr>
          <w:rFonts w:hint="eastAsia" w:ascii="仿宋_GB2312" w:hAnsi="宋体" w:eastAsia="仿宋_GB2312" w:cs="Times New Roman"/>
          <w:b/>
          <w:bCs/>
          <w:i w:val="0"/>
          <w:iCs w:val="0"/>
          <w:caps w:val="0"/>
          <w:spacing w:val="0"/>
          <w:kern w:val="2"/>
          <w:sz w:val="32"/>
          <w:szCs w:val="32"/>
          <w:shd w:val="clear"/>
        </w:rPr>
        <w:t>全力保障年度重点工作落实</w:t>
      </w:r>
    </w:p>
    <w:p>
      <w:pPr>
        <w:numPr>
          <w:ilvl w:val="-1"/>
          <w:numId w:val="0"/>
        </w:numPr>
        <w:spacing w:line="590" w:lineRule="exact"/>
        <w:ind w:firstLine="640" w:firstLineChars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严格对标年度投资计划，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分阶段细化工作目标，同时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 w:bidi="ar-SA"/>
        </w:rPr>
        <w:t>建立绩效目标达成情况跟踪制度，</w:t>
      </w:r>
      <w:r>
        <w:rPr>
          <w:rFonts w:hint="eastAsia" w:ascii="仿宋_GB2312" w:hAnsi="宋体" w:eastAsia="仿宋_GB2312" w:cs="Times New Roman"/>
          <w:sz w:val="32"/>
          <w:szCs w:val="32"/>
          <w:lang w:eastAsia="zh-CN" w:bidi="ar-SA"/>
        </w:rPr>
        <w:t>全力保障</w:t>
      </w:r>
      <w:r>
        <w:rPr>
          <w:rFonts w:hint="eastAsia" w:ascii="仿宋_GB2312" w:hAnsi="宋体" w:eastAsia="仿宋_GB2312" w:cs="Times New Roman"/>
          <w:i w:val="0"/>
          <w:iCs w:val="0"/>
          <w:caps w:val="0"/>
          <w:spacing w:val="0"/>
          <w:sz w:val="32"/>
          <w:szCs w:val="32"/>
          <w:shd w:val="clear"/>
        </w:rPr>
        <w:t>年度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 w:bidi="ar-SA"/>
        </w:rPr>
        <w:t>目标达成。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3"/>
        <w:rPr>
          <w:rFonts w:hint="eastAsia" w:hAnsi="宋体" w:eastAsia="仿宋_GB2312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hAnsi="宋体" w:eastAsia="仿宋_GB2312" w:cs="Times New Roman"/>
          <w:b/>
          <w:bCs/>
          <w:kern w:val="2"/>
          <w:sz w:val="32"/>
          <w:szCs w:val="32"/>
          <w:lang w:val="en-US" w:eastAsia="zh-CN"/>
        </w:rPr>
        <w:t>（二）积极拓宽项目征集渠道，提升资金使用效率，</w:t>
      </w:r>
      <w:r>
        <w:rPr>
          <w:rFonts w:hint="eastAsia" w:ascii="仿宋_GB2312" w:hAnsi="宋体" w:eastAsia="仿宋_GB2312" w:cs="Times New Roman"/>
          <w:b/>
          <w:bCs/>
          <w:caps w:val="0"/>
          <w:smallCaps w:val="0"/>
          <w:kern w:val="2"/>
          <w:sz w:val="32"/>
          <w:szCs w:val="32"/>
          <w:lang w:val="en-US" w:eastAsia="zh-CN"/>
        </w:rPr>
        <w:t>带动社会资本投资</w:t>
      </w:r>
    </w:p>
    <w:p>
      <w:pPr>
        <w:spacing w:line="590" w:lineRule="exact"/>
        <w:ind w:firstLine="64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aps w:val="0"/>
          <w:smallCaps w:val="0"/>
          <w:sz w:val="32"/>
          <w:szCs w:val="32"/>
          <w:lang w:val="en-US" w:eastAsia="zh-CN"/>
        </w:rPr>
        <w:t>积极拓宽项目征集渠道，增大优质项目储备，同时以市场化为原则，设计合理的让利、激励机制，提高资金使用率，吸引社会资本投入。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宋体" w:eastAsia="仿宋_GB2312"/>
          <w:b w:val="0"/>
          <w:bCs w:val="0"/>
          <w:sz w:val="32"/>
          <w:szCs w:val="32"/>
        </w:rPr>
      </w:pP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宋体" w:eastAsia="仿宋_GB2312"/>
          <w:b w:val="0"/>
          <w:bCs w:val="0"/>
          <w:sz w:val="32"/>
          <w:szCs w:val="32"/>
        </w:rPr>
      </w:pPr>
    </w:p>
    <w:p>
      <w:pPr>
        <w:spacing w:line="560" w:lineRule="exact"/>
        <w:ind w:firstLine="570"/>
        <w:rPr>
          <w:rFonts w:hint="default" w:ascii="仿宋_GB2312" w:hAnsi="宋体" w:eastAsia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ins w:id="0" w:author="sxszf" w:date="2022-11-29T09:41:21Z">
      <w:r>
        <w:rPr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</w:pPr>
                            <w:ins w:id="2" w:author="sxszf" w:date="2022-11-29T09:41:21Z">
                              <w:r>
                                <w:rPr/>
                                <w:fldChar w:fldCharType="begin"/>
                              </w:r>
                            </w:ins>
                            <w:ins w:id="3" w:author="sxszf" w:date="2022-11-29T09:41:21Z">
                              <w:r>
                                <w:rPr/>
                                <w:instrText xml:space="preserve"> PAGE  \* MERGEFORMAT </w:instrText>
                              </w:r>
                            </w:ins>
                            <w:ins w:id="4" w:author="sxszf" w:date="2022-11-29T09:41:21Z">
                              <w:r>
                                <w:rPr/>
                                <w:fldChar w:fldCharType="separate"/>
                              </w:r>
                            </w:ins>
                            <w:ins w:id="5" w:author="sxszf" w:date="2022-11-29T09:41:21Z">
                              <w:r>
                                <w:rPr/>
                                <w:t>1</w:t>
                              </w:r>
                            </w:ins>
                            <w:ins w:id="6" w:author="sxszf" w:date="2022-11-29T09:41:21Z">
                              <w:r>
                                <w:rPr/>
                                <w:fldChar w:fldCharType="end"/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AfuQZdyQIAAOwFAAAOAAAAAAAAAAEAIAAAADUBAABkcnMvZTJvRG9jLnhtbFBL&#10;BQYAAAAABgAGAFkBAABwBg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4"/>
                      </w:pPr>
                      <w:ins w:id="7" w:author="sxszf" w:date="2022-11-29T09:41:21Z">
                        <w:r>
                          <w:rPr/>
                          <w:fldChar w:fldCharType="begin"/>
                        </w:r>
                      </w:ins>
                      <w:ins w:id="8" w:author="sxszf" w:date="2022-11-29T09:41:21Z">
                        <w:r>
                          <w:rPr/>
                          <w:instrText xml:space="preserve"> PAGE  \* MERGEFORMAT </w:instrText>
                        </w:r>
                      </w:ins>
                      <w:ins w:id="9" w:author="sxszf" w:date="2022-11-29T09:41:21Z">
                        <w:r>
                          <w:rPr/>
                          <w:fldChar w:fldCharType="separate"/>
                        </w:r>
                      </w:ins>
                      <w:ins w:id="10" w:author="sxszf" w:date="2022-11-29T09:41:21Z">
                        <w:r>
                          <w:rPr/>
                          <w:t>1</w:t>
                        </w:r>
                      </w:ins>
                      <w:ins w:id="11" w:author="sxszf" w:date="2022-11-29T09:41:21Z">
                        <w:r>
                          <w:rPr/>
                          <w:fldChar w:fldCharType="end"/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260797"/>
    <w:multiLevelType w:val="multilevel"/>
    <w:tmpl w:val="20260797"/>
    <w:lvl w:ilvl="0" w:tentative="0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xszf">
    <w15:presenceInfo w15:providerId="None" w15:userId="sxsz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D57"/>
    <w:rsid w:val="002A6D57"/>
    <w:rsid w:val="004E5C3A"/>
    <w:rsid w:val="00B6714F"/>
    <w:rsid w:val="00EF3E69"/>
    <w:rsid w:val="034D550C"/>
    <w:rsid w:val="03BD5762"/>
    <w:rsid w:val="04B3331C"/>
    <w:rsid w:val="04FB3859"/>
    <w:rsid w:val="0546295E"/>
    <w:rsid w:val="05614788"/>
    <w:rsid w:val="05AB6FDF"/>
    <w:rsid w:val="05CD7F56"/>
    <w:rsid w:val="065A258D"/>
    <w:rsid w:val="06A55624"/>
    <w:rsid w:val="06D54BD8"/>
    <w:rsid w:val="07E42561"/>
    <w:rsid w:val="09916BE6"/>
    <w:rsid w:val="0B315BDA"/>
    <w:rsid w:val="0E3830B6"/>
    <w:rsid w:val="0E8933A7"/>
    <w:rsid w:val="0F957F8E"/>
    <w:rsid w:val="0FB60380"/>
    <w:rsid w:val="10163B82"/>
    <w:rsid w:val="105543A6"/>
    <w:rsid w:val="10DF3F86"/>
    <w:rsid w:val="124A3717"/>
    <w:rsid w:val="130402B0"/>
    <w:rsid w:val="14E34878"/>
    <w:rsid w:val="154F01D6"/>
    <w:rsid w:val="159D0E27"/>
    <w:rsid w:val="15B20F44"/>
    <w:rsid w:val="163E5DB9"/>
    <w:rsid w:val="16436967"/>
    <w:rsid w:val="167D4F15"/>
    <w:rsid w:val="196C7F2F"/>
    <w:rsid w:val="19EF2084"/>
    <w:rsid w:val="1AB479D4"/>
    <w:rsid w:val="1BB3155D"/>
    <w:rsid w:val="1C9765D0"/>
    <w:rsid w:val="1D4700DB"/>
    <w:rsid w:val="1E054B45"/>
    <w:rsid w:val="1E1D58AE"/>
    <w:rsid w:val="1E2A121E"/>
    <w:rsid w:val="1F577E84"/>
    <w:rsid w:val="1F85761D"/>
    <w:rsid w:val="205E5933"/>
    <w:rsid w:val="22C57805"/>
    <w:rsid w:val="23FE6D3E"/>
    <w:rsid w:val="246F0855"/>
    <w:rsid w:val="24975718"/>
    <w:rsid w:val="24BA12FC"/>
    <w:rsid w:val="255A1CFA"/>
    <w:rsid w:val="26C67E4D"/>
    <w:rsid w:val="28936F08"/>
    <w:rsid w:val="2895686E"/>
    <w:rsid w:val="28E414F4"/>
    <w:rsid w:val="28E56AC5"/>
    <w:rsid w:val="2BA86FAC"/>
    <w:rsid w:val="2C5348BF"/>
    <w:rsid w:val="2F992D0F"/>
    <w:rsid w:val="30E10DCB"/>
    <w:rsid w:val="34C23DE0"/>
    <w:rsid w:val="34EC4D00"/>
    <w:rsid w:val="358C4387"/>
    <w:rsid w:val="36CC716A"/>
    <w:rsid w:val="37035F6B"/>
    <w:rsid w:val="370A545E"/>
    <w:rsid w:val="37F919D9"/>
    <w:rsid w:val="39821C5F"/>
    <w:rsid w:val="39F43386"/>
    <w:rsid w:val="3B0C747A"/>
    <w:rsid w:val="3B894FEA"/>
    <w:rsid w:val="3D7C2AF0"/>
    <w:rsid w:val="420C11B7"/>
    <w:rsid w:val="42B00282"/>
    <w:rsid w:val="43355B61"/>
    <w:rsid w:val="43FB665B"/>
    <w:rsid w:val="45EE73BF"/>
    <w:rsid w:val="461377B1"/>
    <w:rsid w:val="49D8445A"/>
    <w:rsid w:val="4A67393E"/>
    <w:rsid w:val="4A901CD2"/>
    <w:rsid w:val="4B3210BA"/>
    <w:rsid w:val="4B727197"/>
    <w:rsid w:val="4CD43E25"/>
    <w:rsid w:val="4D4563CD"/>
    <w:rsid w:val="4E991AC6"/>
    <w:rsid w:val="4EFA424C"/>
    <w:rsid w:val="4F8952D5"/>
    <w:rsid w:val="518E52A4"/>
    <w:rsid w:val="51AC4BFA"/>
    <w:rsid w:val="52BD6F4B"/>
    <w:rsid w:val="56DB2DC6"/>
    <w:rsid w:val="5746493F"/>
    <w:rsid w:val="585445BF"/>
    <w:rsid w:val="585800BA"/>
    <w:rsid w:val="58EC4EF9"/>
    <w:rsid w:val="5AF75CF1"/>
    <w:rsid w:val="5B3A498B"/>
    <w:rsid w:val="5BE004AF"/>
    <w:rsid w:val="5BEA5C47"/>
    <w:rsid w:val="5BFD1A3A"/>
    <w:rsid w:val="5C2F1546"/>
    <w:rsid w:val="5CAD0590"/>
    <w:rsid w:val="5CDA6E04"/>
    <w:rsid w:val="5D8B6F92"/>
    <w:rsid w:val="60485D17"/>
    <w:rsid w:val="60A50668"/>
    <w:rsid w:val="60AF7075"/>
    <w:rsid w:val="61F628E8"/>
    <w:rsid w:val="62844A8A"/>
    <w:rsid w:val="6335774C"/>
    <w:rsid w:val="63DBA651"/>
    <w:rsid w:val="66062E25"/>
    <w:rsid w:val="66BA02B3"/>
    <w:rsid w:val="67772958"/>
    <w:rsid w:val="67900C9D"/>
    <w:rsid w:val="684551D5"/>
    <w:rsid w:val="68C02331"/>
    <w:rsid w:val="68C02CF0"/>
    <w:rsid w:val="6ADA3AE1"/>
    <w:rsid w:val="6AE630B6"/>
    <w:rsid w:val="6CB44886"/>
    <w:rsid w:val="6D090199"/>
    <w:rsid w:val="6D765F99"/>
    <w:rsid w:val="6DF4381E"/>
    <w:rsid w:val="70107472"/>
    <w:rsid w:val="70E571AA"/>
    <w:rsid w:val="71DE23A5"/>
    <w:rsid w:val="726759FD"/>
    <w:rsid w:val="72966440"/>
    <w:rsid w:val="72B35A7E"/>
    <w:rsid w:val="7383259E"/>
    <w:rsid w:val="743F71C7"/>
    <w:rsid w:val="74B04C64"/>
    <w:rsid w:val="780B2C42"/>
    <w:rsid w:val="78243052"/>
    <w:rsid w:val="786679D3"/>
    <w:rsid w:val="7B3A5F96"/>
    <w:rsid w:val="7B553150"/>
    <w:rsid w:val="7BFF53C7"/>
    <w:rsid w:val="7D3D3944"/>
    <w:rsid w:val="7DF79E22"/>
    <w:rsid w:val="7E2E60D1"/>
    <w:rsid w:val="7ED879C4"/>
    <w:rsid w:val="7FDF7A12"/>
    <w:rsid w:val="97B7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after="90" w:line="480" w:lineRule="auto"/>
      <w:ind w:firstLine="0" w:firstLineChars="0"/>
      <w:outlineLvl w:val="0"/>
    </w:pPr>
    <w:rPr>
      <w:rFonts w:eastAsia="宋体"/>
      <w:b/>
      <w:bCs/>
      <w:color w:val="000000"/>
      <w:kern w:val="44"/>
      <w:sz w:val="30"/>
      <w:szCs w:val="44"/>
      <w:lang w:val="zh-CN" w:bidi="zh-CN"/>
    </w:rPr>
  </w:style>
  <w:style w:type="paragraph" w:styleId="3">
    <w:name w:val="heading 2"/>
    <w:basedOn w:val="1"/>
    <w:next w:val="1"/>
    <w:unhideWhenUsed/>
    <w:qFormat/>
    <w:uiPriority w:val="0"/>
    <w:pPr>
      <w:keepNext/>
      <w:adjustRightInd w:val="0"/>
      <w:snapToGrid w:val="0"/>
      <w:spacing w:before="120" w:after="0" w:line="360" w:lineRule="auto"/>
      <w:textAlignment w:val="baseline"/>
      <w:outlineLvl w:val="1"/>
    </w:pPr>
    <w:rPr>
      <w:rFonts w:ascii="仿宋_GB2312" w:hAnsi="仿宋_GB2312"/>
      <w:b/>
      <w:kern w:val="0"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u w:val="none"/>
      <w:lang w:val="en-US" w:eastAsia="zh-CN" w:bidi="ar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591</Words>
  <Characters>3374</Characters>
  <Lines>28</Lines>
  <Paragraphs>7</Paragraphs>
  <TotalTime>3</TotalTime>
  <ScaleCrop>false</ScaleCrop>
  <LinksUpToDate>false</LinksUpToDate>
  <CharactersWithSpaces>3958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2021-02-28T01:09:00Z</dcterms:created>
  <dc:creator>pc002</dc:creator>
  <cp:lastModifiedBy>sxszf</cp:lastModifiedBy>
  <cp:lastPrinted>2021-03-16T18:37:00Z</cp:lastPrinted>
  <dcterms:modified xsi:type="dcterms:W3CDTF">2022-11-29T09:41:28Z</dcterms:modified>
  <dc:title>绍兴市级政府产业基金2020年度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