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8"/>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w:t>
            </w:r>
            <w:r>
              <w:rPr>
                <w:rFonts w:hint="eastAsia" w:ascii="仿宋_GB2312" w:hAnsi="仿宋_GB2312" w:eastAsia="仿宋_GB2312" w:cs="仿宋_GB2312"/>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C00000"/>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9</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eastAsia" w:ascii="黑体" w:hAnsi="黑体" w:eastAsia="黑体" w:cs="黑体"/>
                <w:color w:val="C00000"/>
                <w:kern w:val="2"/>
                <w:sz w:val="24"/>
                <w:szCs w:val="24"/>
                <w:highlight w:val="none"/>
                <w:lang w:val="en-US" w:eastAsia="zh-CN" w:bidi="ar-SA"/>
              </w:rPr>
            </w:pPr>
            <w:r>
              <w:rPr>
                <w:rFonts w:hint="eastAsia" w:ascii="黑体" w:hAnsi="黑体" w:eastAsia="黑体" w:cs="黑体"/>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C00000"/>
                <w:kern w:val="2"/>
                <w:sz w:val="24"/>
                <w:szCs w:val="24"/>
                <w:highlight w:val="none"/>
                <w:lang w:val="en-US" w:eastAsia="zh-CN" w:bidi="ar-SA"/>
              </w:rPr>
              <w:t>通过系统上传电子版；</w:t>
            </w:r>
            <w:r>
              <w:rPr>
                <w:rFonts w:hint="eastAsia" w:ascii="仿宋_GB2312" w:hAnsi="仿宋_GB2312" w:eastAsia="仿宋_GB2312" w:cs="仿宋_GB2312"/>
                <w:color w:val="C00000"/>
                <w:kern w:val="2"/>
                <w:sz w:val="24"/>
                <w:szCs w:val="24"/>
                <w:highlight w:val="none"/>
                <w:shd w:val="clear"/>
                <w:lang w:val="en-US" w:eastAsia="zh-CN" w:bidi="ar-SA"/>
              </w:rPr>
              <w:t>线下提交纸质复印件并盖单位章或个人签章</w:t>
            </w:r>
          </w:p>
        </w:tc>
      </w:tr>
    </w:tbl>
    <w:p>
      <w:pPr>
        <w:rPr>
          <w:rFonts w:hint="eastAsia" w:ascii="方正小标宋简体" w:eastAsia="方正小标宋简体"/>
          <w:caps/>
          <w:color w:val="auto"/>
          <w:sz w:val="36"/>
          <w:szCs w:val="36"/>
          <w:highlight w:val="none"/>
        </w:rPr>
        <w:sectPr>
          <w:footerReference r:id="rId3" w:type="default"/>
          <w:pgSz w:w="11906" w:h="16838"/>
          <w:pgMar w:top="1440" w:right="1800" w:bottom="1440" w:left="1800" w:header="851" w:footer="992" w:gutter="0"/>
          <w:cols w:space="425" w:num="1"/>
          <w:docGrid w:type="lines" w:linePitch="312" w:charSpace="0"/>
        </w:sectPr>
      </w:pPr>
      <w:r>
        <w:br w:type="page"/>
      </w:r>
    </w:p>
    <w:p>
      <w:pPr>
        <w:pStyle w:val="11"/>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被提名者自我评价表</w:t>
      </w:r>
    </w:p>
    <w:tbl>
      <w:tblPr>
        <w:tblStyle w:val="9"/>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172"/>
        <w:gridCol w:w="1282"/>
        <w:gridCol w:w="775"/>
        <w:gridCol w:w="5683"/>
        <w:gridCol w:w="1675"/>
        <w:gridCol w:w="28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33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bookmarkStart w:id="0" w:name="_GoBack"/>
            <w:r>
              <w:rPr>
                <w:rFonts w:hint="default" w:ascii="Times New Roman" w:hAnsi="Times New Roman" w:eastAsia="仿宋_GB2312" w:cs="Times New Roman"/>
                <w:color w:val="auto"/>
                <w:sz w:val="24"/>
                <w:szCs w:val="24"/>
                <w:shd w:val="clear" w:color="auto" w:fill="auto"/>
              </w:rPr>
              <w:t>一级指标</w:t>
            </w:r>
          </w:p>
        </w:tc>
        <w:tc>
          <w:tcPr>
            <w:tcW w:w="118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rPr>
              <w:t>二级指标</w:t>
            </w: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rPr>
              <w:t>三级指标</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color w:val="auto"/>
                <w:sz w:val="24"/>
                <w:szCs w:val="24"/>
                <w:shd w:val="clear" w:color="auto" w:fill="auto"/>
                <w:lang w:val="en-US" w:eastAsia="zh-CN"/>
              </w:rPr>
              <w:t>分值</w:t>
            </w:r>
          </w:p>
        </w:tc>
        <w:tc>
          <w:tcPr>
            <w:tcW w:w="5732" w:type="dxa"/>
            <w:tcBorders>
              <w:tl2br w:val="nil"/>
              <w:tr2bl w:val="nil"/>
            </w:tcBorders>
            <w:noWrap w:val="0"/>
            <w:vAlign w:val="center"/>
          </w:tcPr>
          <w:p>
            <w:pPr>
              <w:jc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lang w:eastAsia="zh-CN"/>
              </w:rPr>
              <w:t>评价内容</w:t>
            </w:r>
          </w:p>
        </w:tc>
        <w:tc>
          <w:tcPr>
            <w:tcW w:w="1688"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i w:val="0"/>
                <w:iCs w:val="0"/>
                <w:color w:val="auto"/>
                <w:sz w:val="24"/>
                <w:szCs w:val="24"/>
                <w:u w:val="none"/>
                <w:lang w:val="en-US" w:eastAsia="zh-CN"/>
              </w:rPr>
              <w:t>自我评价</w:t>
            </w:r>
          </w:p>
        </w:tc>
        <w:tc>
          <w:tcPr>
            <w:tcW w:w="2856" w:type="dxa"/>
            <w:tcBorders>
              <w:tl2br w:val="nil"/>
              <w:tr2bl w:val="nil"/>
            </w:tcBorders>
            <w:noWrap w:val="0"/>
            <w:vAlign w:val="center"/>
          </w:tcPr>
          <w:p>
            <w:pPr>
              <w:keepNext w:val="0"/>
              <w:keepLines w:val="0"/>
              <w:widowControl/>
              <w:suppressLineNumbers w:val="0"/>
              <w:jc w:val="center"/>
              <w:textAlignment w:val="center"/>
              <w:rPr>
                <w:rFonts w:hint="default" w:ascii="Times New Roman" w:hAnsi="Times New Roman" w:eastAsia="仿宋_GB2312" w:cs="Times New Roman"/>
                <w:i w:val="0"/>
                <w:iCs w:val="0"/>
                <w:color w:val="auto"/>
                <w:kern w:val="2"/>
                <w:sz w:val="24"/>
                <w:szCs w:val="24"/>
                <w:highlight w:val="none"/>
                <w:u w:val="none"/>
                <w:lang w:val="en-US" w:eastAsia="zh-CN" w:bidi="ar-SA"/>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default" w:ascii="Times New Roman" w:hAnsi="Times New Roman" w:eastAsia="仿宋_GB2312" w:cs="Times New Roman"/>
                <w:color w:val="C00000"/>
                <w:kern w:val="2"/>
                <w:sz w:val="24"/>
                <w:szCs w:val="24"/>
                <w:highlight w:val="none"/>
                <w:lang w:val="en-US" w:eastAsia="zh-CN" w:bidi="ar-SA"/>
              </w:rPr>
              <w:t>通过系统上传原件扫描件电子版。同时，线下提交纸质件；</w:t>
            </w:r>
            <w:r>
              <w:rPr>
                <w:rFonts w:hint="default" w:ascii="Times New Roman" w:hAnsi="Times New Roman"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default"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330"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计算机软件创新性</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（30分）</w:t>
            </w: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独创性</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（15分）</w:t>
            </w: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新颖性</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新颖性显著，与现有技术存在显著区分的，得4-5分</w:t>
            </w:r>
          </w:p>
          <w:p>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新颖性明显，与现有技术存在明显区分的，得2-3分</w:t>
            </w:r>
          </w:p>
          <w:p>
            <w:pPr>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具有</w:t>
            </w:r>
            <w:r>
              <w:rPr>
                <w:rFonts w:hint="default" w:ascii="Times New Roman" w:hAnsi="Times New Roman" w:eastAsia="仿宋_GB2312" w:cs="Times New Roman"/>
                <w:color w:val="auto"/>
                <w:kern w:val="0"/>
                <w:sz w:val="24"/>
                <w:szCs w:val="24"/>
              </w:rPr>
              <w:t>新颖性，与现有技术存在一定区分的，得0-1分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2856" w:type="dxa"/>
            <w:tcBorders>
              <w:tl2br w:val="nil"/>
              <w:tr2bl w:val="nil"/>
            </w:tcBorders>
            <w:noWrap w:val="0"/>
            <w:vAlign w:val="center"/>
          </w:tcPr>
          <w:p>
            <w:pPr>
              <w:jc w:val="center"/>
              <w:rPr>
                <w:rFonts w:hint="default" w:ascii="Times New Roman" w:hAnsi="Times New Roman" w:eastAsia="仿宋_GB2312" w:cs="Times New Roman"/>
                <w:b w:val="0"/>
                <w:bCs w:val="0"/>
                <w:color w:val="C00000"/>
                <w:sz w:val="24"/>
                <w:szCs w:val="24"/>
                <w:highlight w:val="none"/>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w:t>
            </w:r>
            <w:r>
              <w:rPr>
                <w:rFonts w:hint="default" w:ascii="Times New Roman" w:hAnsi="Times New Roman" w:eastAsia="仿宋_GB2312" w:cs="Times New Roman"/>
                <w:b w:val="0"/>
                <w:bCs w:val="0"/>
                <w:color w:val="C00000"/>
                <w:sz w:val="24"/>
                <w:szCs w:val="24"/>
                <w:highlight w:val="none"/>
                <w:u w:val="none"/>
                <w:vertAlign w:val="baseline"/>
                <w:lang w:val="en-US" w:eastAsia="zh-CN"/>
              </w:rPr>
              <w:t>软著</w:t>
            </w:r>
            <w:r>
              <w:rPr>
                <w:rFonts w:hint="default" w:ascii="Times New Roman" w:hAnsi="Times New Roman" w:eastAsia="仿宋_GB2312" w:cs="Times New Roman"/>
                <w:color w:val="C00000"/>
                <w:kern w:val="0"/>
                <w:sz w:val="24"/>
                <w:szCs w:val="24"/>
                <w:lang w:val="en-US" w:eastAsia="zh-CN" w:bidi="ar-SA"/>
              </w:rPr>
              <w:t>与现有技术存在区分的相关证明材料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创造性</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创造性显著，产生极好技术效果、突破技术壁垒、引领技术发展趋势的，得4-5分</w:t>
            </w:r>
          </w:p>
          <w:p>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创造性明显，产生较好技术效果的，得2-3分</w:t>
            </w:r>
          </w:p>
          <w:p>
            <w:pPr>
              <w:jc w:val="left"/>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具有创造性，产生一定技术效果的，得0-1分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jc w:val="center"/>
              <w:rPr>
                <w:rFonts w:hint="default" w:ascii="Times New Roman" w:hAnsi="Times New Roman" w:eastAsia="仿宋_GB2312" w:cs="Times New Roman"/>
                <w:b w:val="0"/>
                <w:bCs w:val="0"/>
                <w:color w:val="C00000"/>
                <w:sz w:val="24"/>
                <w:szCs w:val="24"/>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提供体现软著创造性的相关证明材料</w:t>
            </w:r>
          </w:p>
          <w:p>
            <w:pPr>
              <w:pStyle w:val="2"/>
              <w:rPr>
                <w:rFonts w:hint="default" w:ascii="Times New Roman" w:hAnsi="Times New Roman" w:eastAsia="仿宋_GB2312" w:cs="Times New Roman"/>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实用性</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已投入应用，应用效果显著的，得4-5分</w:t>
            </w:r>
          </w:p>
          <w:p>
            <w:pPr>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已投入应用，应用效果较好的，得2-3分</w:t>
            </w:r>
          </w:p>
          <w:p>
            <w:pPr>
              <w:jc w:val="left"/>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已投入应用，</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应用效果的，得0-1分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rPr>
            </w:pPr>
          </w:p>
        </w:tc>
        <w:tc>
          <w:tcPr>
            <w:tcW w:w="2856" w:type="dxa"/>
            <w:tcBorders>
              <w:tl2br w:val="nil"/>
              <w:tr2bl w:val="nil"/>
            </w:tcBorders>
            <w:noWrap w:val="0"/>
            <w:vAlign w:val="center"/>
          </w:tcPr>
          <w:p>
            <w:pPr>
              <w:jc w:val="center"/>
              <w:rPr>
                <w:rFonts w:hint="default" w:ascii="Times New Roman" w:hAnsi="Times New Roman" w:eastAsia="仿宋_GB2312" w:cs="Times New Roman"/>
                <w:b w:val="0"/>
                <w:bCs w:val="0"/>
                <w:color w:val="C00000"/>
                <w:sz w:val="24"/>
                <w:szCs w:val="24"/>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提供体现软著</w:t>
            </w:r>
            <w:r>
              <w:rPr>
                <w:rFonts w:hint="default" w:ascii="Times New Roman" w:hAnsi="Times New Roman" w:eastAsia="仿宋_GB2312" w:cs="Times New Roman"/>
                <w:color w:val="C00000"/>
                <w:kern w:val="0"/>
                <w:sz w:val="24"/>
                <w:szCs w:val="24"/>
                <w:lang w:val="en-US" w:eastAsia="zh-CN" w:bidi="ar-SA"/>
              </w:rPr>
              <w:t>应用效果的相关证明材料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7"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先进性</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（15分）</w:t>
            </w:r>
          </w:p>
        </w:tc>
        <w:tc>
          <w:tcPr>
            <w:tcW w:w="1291" w:type="dxa"/>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重要性</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为解决本领域核心、关键技术卡脖子问题起到关键作用，为技术进步和产业结构优化升级作出显著贡献的，得4-5分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为解决本领域核心、关键技术卡脖子问题起到突出作用，为技术进步和产业结构优化升级作出明显贡献的，得2-3分</w:t>
            </w:r>
          </w:p>
          <w:p>
            <w:pP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为解决本领域核心、关键技术卡脖子问题起到积极作用，为技术进步和产业结构优化升级作出贡献的，得0-1分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提供证明软著</w:t>
            </w:r>
            <w:r>
              <w:rPr>
                <w:rFonts w:hint="default" w:ascii="Times New Roman" w:hAnsi="Times New Roman" w:eastAsia="仿宋_GB2312" w:cs="Times New Roman"/>
                <w:color w:val="C00000"/>
                <w:kern w:val="0"/>
                <w:sz w:val="24"/>
                <w:szCs w:val="24"/>
                <w:lang w:val="en-US" w:eastAsia="zh-CN" w:bidi="ar-SA"/>
              </w:rPr>
              <w:t>为解决本领域核心、关键技术卡脖子问题起到作用，为技术进步和产业结构优化升级作出贡献的相关材料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技术</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贡献度</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为产业升级、结构优化升级作出显著贡献的，得4-5分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为产业升级、结构优化升级作出明显贡献的，得2-3分</w:t>
            </w:r>
          </w:p>
          <w:p>
            <w:pP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为产业升级、结构优化升级作出贡献的，得0-1分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kern w:val="0"/>
                <w:sz w:val="24"/>
                <w:szCs w:val="24"/>
                <w:lang w:val="en-US" w:eastAsia="zh-CN" w:bidi="ar-SA"/>
              </w:rPr>
              <w:t>为产业升级、结构优化升级作出贡献的相关证明材料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技术优势</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不存在解决相同或类似问题的替代技术方案，且技术效果优势显著的，得4-5分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不存在解决相同或类似问题的替代技术方案，且</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技术效果优势的，得2-3分</w:t>
            </w:r>
          </w:p>
          <w:p>
            <w:pP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存在解决相同或类似问题的替代技术方案的，得0-1分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提供体现软著技术优势的证明材料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330"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p>
          <w:p>
            <w:pPr>
              <w:jc w:val="center"/>
              <w:rPr>
                <w:rFonts w:hint="default" w:ascii="Times New Roman" w:hAnsi="Times New Roman" w:eastAsia="仿宋_GB2312" w:cs="Times New Roman"/>
                <w:sz w:val="24"/>
                <w:szCs w:val="24"/>
              </w:rPr>
            </w:pPr>
          </w:p>
          <w:p>
            <w:pPr>
              <w:jc w:val="center"/>
              <w:rPr>
                <w:rFonts w:hint="default" w:ascii="Times New Roman" w:hAnsi="Times New Roman" w:eastAsia="仿宋_GB2312" w:cs="Times New Roman"/>
                <w:sz w:val="24"/>
                <w:szCs w:val="24"/>
              </w:rPr>
            </w:pP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计算机软件实施</w:t>
            </w: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效益</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（30分）</w:t>
            </w: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p>
          <w:p>
            <w:pPr>
              <w:jc w:val="center"/>
              <w:rPr>
                <w:rFonts w:hint="default" w:ascii="Times New Roman" w:hAnsi="Times New Roman" w:eastAsia="仿宋_GB2312" w:cs="Times New Roman"/>
                <w:sz w:val="24"/>
                <w:szCs w:val="24"/>
              </w:rPr>
            </w:pPr>
          </w:p>
          <w:p>
            <w:pPr>
              <w:jc w:val="center"/>
              <w:rPr>
                <w:rFonts w:hint="default" w:ascii="Times New Roman" w:hAnsi="Times New Roman" w:eastAsia="仿宋_GB2312" w:cs="Times New Roman"/>
                <w:sz w:val="24"/>
                <w:szCs w:val="24"/>
              </w:rPr>
            </w:pP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经济效益</w:t>
            </w: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及市场</w:t>
            </w: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份额</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（20分）</w:t>
            </w: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销售</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过去三年产品或服务销售收入增长显著的，得4-5分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过去三年产品或服务销售收入增长较高的，得2-3分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过去三年产品或服务销售收入增长较低或无增长的，得0-1分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b w:val="0"/>
                <w:bCs w:val="0"/>
                <w:color w:val="C00000"/>
                <w:sz w:val="24"/>
                <w:szCs w:val="24"/>
                <w:u w:val="none"/>
                <w:vertAlign w:val="baseline"/>
              </w:rPr>
              <w:t>提供三年销售数据财务报表复印件并盖章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9"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盈利</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过去三年产品或服务利润占销售收入比重的年平均值增长显著的，得4-5分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过去三年产品或服务利润占销售收入比重的年平均值增长较高的，得2-3分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过去三年产品或服务利润占销售收入比重的年平均值增长较低或无增长的，得0-1分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w:t>
            </w:r>
            <w:r>
              <w:rPr>
                <w:rFonts w:hint="default" w:ascii="Times New Roman" w:hAnsi="Times New Roman" w:eastAsia="仿宋_GB2312" w:cs="Times New Roman"/>
                <w:b w:val="0"/>
                <w:bCs w:val="0"/>
                <w:color w:val="C00000"/>
                <w:sz w:val="24"/>
                <w:szCs w:val="24"/>
                <w:u w:val="none"/>
                <w:vertAlign w:val="baseline"/>
                <w:lang w:eastAsia="zh-CN"/>
              </w:rPr>
              <w:t>利润</w:t>
            </w:r>
            <w:r>
              <w:rPr>
                <w:rFonts w:hint="default" w:ascii="Times New Roman" w:hAnsi="Times New Roman" w:eastAsia="仿宋_GB2312" w:cs="Times New Roman"/>
                <w:b w:val="0"/>
                <w:bCs w:val="0"/>
                <w:color w:val="C00000"/>
                <w:sz w:val="24"/>
                <w:szCs w:val="24"/>
                <w:u w:val="none"/>
                <w:vertAlign w:val="baseline"/>
              </w:rPr>
              <w:t>与销售收入三年财务报表复印件，并制作比较表格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行业排名</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过去三年产品或服务在行业内排名增长显著的，得4-5分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过去三年产品或服务在行业内排名增长较高的，得2-3分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过去三年产品或服务在行业内排名增长较低或无增长的，得0-1分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提供官方认可的行业统计数据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进出口</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贸易</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过去三年产品或服务进出口贸易增长显著的，得4-5分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过去三年产品或服务进出口贸易增长较高的，得2-3分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过去三年产品或服务进出口贸易增长较低或无增长的，得0-1分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default" w:ascii="Times New Roman" w:hAnsi="Times New Roman" w:eastAsia="仿宋_GB2312" w:cs="Times New Roman"/>
                <w:b w:val="0"/>
                <w:bCs w:val="0"/>
                <w:i w:val="0"/>
                <w:iCs w:val="0"/>
                <w:color w:val="C00000"/>
                <w:sz w:val="24"/>
                <w:szCs w:val="24"/>
                <w:u w:val="none"/>
                <w:lang w:val="en-US" w:eastAsia="zh-CN"/>
              </w:rPr>
              <w:t>参考</w:t>
            </w:r>
            <w:r>
              <w:rPr>
                <w:rFonts w:hint="default" w:ascii="Times New Roman" w:hAnsi="Times New Roman"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val="en-US" w:eastAsia="zh-CN"/>
              </w:rPr>
              <w:t>可</w:t>
            </w:r>
            <w:r>
              <w:rPr>
                <w:rFonts w:hint="default" w:ascii="Times New Roman" w:hAnsi="Times New Roman" w:eastAsia="仿宋_GB2312" w:cs="Times New Roman"/>
                <w:b w:val="0"/>
                <w:bCs w:val="0"/>
                <w:color w:val="C00000"/>
                <w:sz w:val="24"/>
                <w:szCs w:val="24"/>
                <w:u w:val="none"/>
                <w:vertAlign w:val="baseline"/>
              </w:rPr>
              <w:t>提供三年</w:t>
            </w:r>
            <w:r>
              <w:rPr>
                <w:rFonts w:hint="default" w:ascii="Times New Roman" w:hAnsi="Times New Roman" w:eastAsia="仿宋_GB2312" w:cs="Times New Roman"/>
                <w:b w:val="0"/>
                <w:bCs w:val="0"/>
                <w:color w:val="C00000"/>
                <w:sz w:val="24"/>
                <w:szCs w:val="24"/>
                <w:u w:val="none"/>
                <w:vertAlign w:val="baseline"/>
                <w:lang w:eastAsia="zh-CN"/>
              </w:rPr>
              <w:t>进出口贸易</w:t>
            </w:r>
            <w:r>
              <w:rPr>
                <w:rFonts w:hint="default" w:ascii="Times New Roman" w:hAnsi="Times New Roman" w:eastAsia="仿宋_GB2312" w:cs="Times New Roman"/>
                <w:b w:val="0"/>
                <w:bCs w:val="0"/>
                <w:color w:val="C00000"/>
                <w:sz w:val="24"/>
                <w:szCs w:val="24"/>
                <w:u w:val="none"/>
                <w:vertAlign w:val="baseline"/>
              </w:rPr>
              <w:t>数据财务报表复印件并盖章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社会效益</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（10分）</w:t>
            </w: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推动区域发展</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引领地方特色经济、带动相关产业发展、服务社会就业、保障国家和公共安全等效果显著的，得4-5分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引领地方特色经济、带动相关产业发展、服务社会就业、保障国家和公共安全等效果较好的，得2-3分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引领地方特色经济、带动相关产业发展、服务社会就业、保障国家和公共安全等</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效果的，得0-1分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kern w:val="0"/>
                <w:sz w:val="24"/>
                <w:szCs w:val="24"/>
                <w:lang w:val="en-US" w:eastAsia="zh-CN" w:bidi="ar-SA"/>
              </w:rPr>
              <w:t>引领地方特色经济、带动相关产业发展、服务社会就业、保障国家和公共安全等方面的证明材料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提升劳动效率和人民物质文化水平</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改善劳动条件和生产生活方式、提高人民物质文化生活水平等效果显著的，得4-5分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改善劳动条件和生产生活方式、提高人民物质文化生活水平等效果较好的，得2-3分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改善劳动条件和生产生活方式、提高人民物质文化生活水平等</w:t>
            </w: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效果的，得0-1分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val="en-US"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sz w:val="24"/>
                <w:szCs w:val="24"/>
              </w:rPr>
              <w:t>提升劳动效率和人民物质文化水平</w:t>
            </w:r>
            <w:r>
              <w:rPr>
                <w:rFonts w:hint="default" w:ascii="Times New Roman" w:hAnsi="Times New Roman" w:eastAsia="仿宋_GB2312" w:cs="Times New Roman"/>
                <w:color w:val="C00000"/>
                <w:sz w:val="24"/>
                <w:szCs w:val="24"/>
                <w:lang w:val="en-US" w:eastAsia="zh-CN"/>
              </w:rPr>
              <w:t>的相关证明材料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1330"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计算机软件发展前景</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（20分）</w:t>
            </w: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行业</w:t>
            </w: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影响力</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（10分）</w:t>
            </w:r>
          </w:p>
        </w:tc>
        <w:tc>
          <w:tcPr>
            <w:tcW w:w="1291" w:type="dxa"/>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行业</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影响力</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行业影响力显著，行业内获奖、行业企业合作开展频繁的，得4-5分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行业影响力明显，行业内获奖、行业企业合作开展较多的，得2-3分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lang w:val="en-US" w:eastAsia="zh-CN"/>
              </w:rPr>
              <w:t>有一定</w:t>
            </w:r>
            <w:r>
              <w:rPr>
                <w:rFonts w:hint="default" w:ascii="Times New Roman" w:hAnsi="Times New Roman" w:eastAsia="仿宋_GB2312" w:cs="Times New Roman"/>
                <w:color w:val="auto"/>
                <w:kern w:val="0"/>
                <w:sz w:val="24"/>
                <w:szCs w:val="24"/>
              </w:rPr>
              <w:t>行业影响力，在行业内获奖或开展行业企业合作的，得0-1分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eastAsia="zh-CN"/>
              </w:rPr>
            </w:pPr>
            <w:r>
              <w:rPr>
                <w:rFonts w:hint="default" w:ascii="Times New Roman" w:hAnsi="Times New Roman" w:eastAsia="仿宋_GB2312" w:cs="Times New Roman"/>
                <w:b w:val="0"/>
                <w:bCs w:val="0"/>
                <w:color w:val="C00000"/>
                <w:sz w:val="24"/>
                <w:szCs w:val="24"/>
                <w:u w:val="none"/>
                <w:vertAlign w:val="baseline"/>
                <w:lang w:eastAsia="zh-CN"/>
              </w:rPr>
              <w:t>提供获奖证书或文件、行业企业合作协议等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标准或</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规范</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融入国际标准或国家标准的，得4-5分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融入地方标准的，得0-3分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w:t>
            </w:r>
            <w:r>
              <w:rPr>
                <w:rFonts w:hint="default" w:ascii="Times New Roman" w:hAnsi="Times New Roman" w:eastAsia="仿宋_GB2312" w:cs="Times New Roman"/>
                <w:b w:val="0"/>
                <w:bCs w:val="0"/>
                <w:color w:val="C00000"/>
                <w:sz w:val="24"/>
                <w:szCs w:val="24"/>
                <w:u w:val="none"/>
                <w:vertAlign w:val="baseline"/>
                <w:lang w:eastAsia="zh-CN"/>
              </w:rPr>
              <w:t>融入的国际、国家或地方</w:t>
            </w:r>
            <w:r>
              <w:rPr>
                <w:rFonts w:hint="default" w:ascii="Times New Roman" w:hAnsi="Times New Roman" w:eastAsia="仿宋_GB2312" w:cs="Times New Roman"/>
                <w:b w:val="0"/>
                <w:bCs w:val="0"/>
                <w:color w:val="C00000"/>
                <w:sz w:val="24"/>
                <w:szCs w:val="24"/>
                <w:u w:val="none"/>
                <w:vertAlign w:val="baseline"/>
              </w:rPr>
              <w:t>标准文本复印件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应用推广</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（10分）</w:t>
            </w:r>
          </w:p>
        </w:tc>
        <w:tc>
          <w:tcPr>
            <w:tcW w:w="1291" w:type="dxa"/>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政策</w:t>
            </w:r>
          </w:p>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适应性</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获得国家产业或者创新政策、项目支持的，得4-5分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获得省部级产业或者创新政策、项目支持的，得2-3分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获得地方产业或者创新政策、项目支持的，得0-1分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eastAsia="zh-CN"/>
              </w:rPr>
            </w:pPr>
            <w:r>
              <w:rPr>
                <w:rFonts w:hint="default" w:ascii="Times New Roman" w:hAnsi="Times New Roman" w:eastAsia="仿宋_GB2312" w:cs="Times New Roman"/>
                <w:b w:val="0"/>
                <w:bCs w:val="0"/>
                <w:color w:val="C00000"/>
                <w:sz w:val="24"/>
                <w:szCs w:val="24"/>
                <w:u w:val="none"/>
                <w:vertAlign w:val="baseline"/>
                <w:lang w:eastAsia="zh-CN"/>
              </w:rPr>
              <w:t>提供</w:t>
            </w:r>
            <w:r>
              <w:rPr>
                <w:rFonts w:hint="default" w:ascii="Times New Roman" w:hAnsi="Times New Roman" w:eastAsia="仿宋_GB2312" w:cs="Times New Roman"/>
                <w:b w:val="0"/>
                <w:bCs w:val="0"/>
                <w:color w:val="C00000"/>
                <w:sz w:val="24"/>
                <w:szCs w:val="24"/>
                <w:u w:val="none"/>
                <w:vertAlign w:val="baseline"/>
              </w:rPr>
              <w:t>政策、项目支持</w:t>
            </w:r>
            <w:r>
              <w:rPr>
                <w:rFonts w:hint="default" w:ascii="Times New Roman" w:hAnsi="Times New Roman" w:eastAsia="仿宋_GB2312" w:cs="Times New Roman"/>
                <w:b w:val="0"/>
                <w:bCs w:val="0"/>
                <w:color w:val="C00000"/>
                <w:sz w:val="24"/>
                <w:szCs w:val="24"/>
                <w:u w:val="none"/>
                <w:vertAlign w:val="baseline"/>
                <w:lang w:eastAsia="zh-CN"/>
              </w:rPr>
              <w:t>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推动发展</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r>
              <w:rPr>
                <w:rFonts w:hint="default" w:ascii="Times New Roman" w:hAnsi="Times New Roman" w:eastAsia="仿宋_GB2312" w:cs="Times New Roman"/>
                <w:sz w:val="24"/>
                <w:szCs w:val="24"/>
              </w:rPr>
              <w:t>5分</w:t>
            </w:r>
          </w:p>
        </w:tc>
        <w:tc>
          <w:tcPr>
            <w:tcW w:w="5732" w:type="dxa"/>
            <w:tcBorders>
              <w:tl2br w:val="nil"/>
              <w:tr2bl w:val="nil"/>
            </w:tcBorders>
            <w:noWrap w:val="0"/>
            <w:vAlign w:val="center"/>
          </w:tcPr>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提升改造优势传统产业、推动战略新兴产业、引领未来产业等效果显著的，得4-5分</w:t>
            </w:r>
          </w:p>
          <w:p>
            <w:pP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提升改造优势传统产业、推动战略新兴产业、引领未来产业等效果明显的，得2-3分</w:t>
            </w:r>
          </w:p>
          <w:p>
            <w:pPr>
              <w:rPr>
                <w:rFonts w:hint="default" w:ascii="Times New Roman" w:hAnsi="Times New Roman" w:eastAsia="仿宋_GB2312" w:cs="Times New Roman"/>
                <w:color w:val="auto"/>
                <w:kern w:val="0"/>
                <w:sz w:val="24"/>
                <w:szCs w:val="24"/>
                <w:lang w:val="en-US" w:eastAsia="zh-CN" w:bidi="ar-SA"/>
              </w:rPr>
            </w:pPr>
            <w:r>
              <w:rPr>
                <w:rFonts w:hint="default" w:ascii="Times New Roman" w:hAnsi="Times New Roman" w:eastAsia="仿宋_GB2312" w:cs="Times New Roman"/>
                <w:color w:val="auto"/>
                <w:kern w:val="0"/>
                <w:sz w:val="24"/>
                <w:szCs w:val="24"/>
              </w:rPr>
              <w:t>提升改造优势传统产业、推动战略新兴产业、引领未来产业等</w:t>
            </w:r>
            <w:r>
              <w:rPr>
                <w:rFonts w:hint="default" w:ascii="Times New Roman" w:hAnsi="Times New Roman" w:eastAsia="仿宋_GB2312" w:cs="Times New Roman"/>
                <w:color w:val="auto"/>
                <w:kern w:val="0"/>
                <w:sz w:val="24"/>
                <w:szCs w:val="24"/>
                <w:lang w:val="en-US" w:eastAsia="zh-CN"/>
              </w:rPr>
              <w:t>有</w:t>
            </w:r>
            <w:r>
              <w:rPr>
                <w:rFonts w:hint="default" w:ascii="Times New Roman" w:hAnsi="Times New Roman" w:eastAsia="仿宋_GB2312" w:cs="Times New Roman"/>
                <w:color w:val="auto"/>
                <w:kern w:val="0"/>
                <w:sz w:val="24"/>
                <w:szCs w:val="24"/>
              </w:rPr>
              <w:t>效果</w:t>
            </w:r>
            <w:r>
              <w:rPr>
                <w:rFonts w:hint="default" w:ascii="Times New Roman" w:hAnsi="Times New Roman" w:eastAsia="仿宋_GB2312" w:cs="Times New Roman"/>
                <w:color w:val="auto"/>
                <w:kern w:val="0"/>
                <w:sz w:val="24"/>
                <w:szCs w:val="24"/>
                <w:lang w:eastAsia="zh-CN"/>
              </w:rPr>
              <w:t>的</w:t>
            </w:r>
            <w:r>
              <w:rPr>
                <w:rFonts w:hint="default" w:ascii="Times New Roman" w:hAnsi="Times New Roman" w:eastAsia="仿宋_GB2312" w:cs="Times New Roman"/>
                <w:color w:val="auto"/>
                <w:kern w:val="0"/>
                <w:sz w:val="24"/>
                <w:szCs w:val="24"/>
              </w:rPr>
              <w:t>，得0-1分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sz w:val="24"/>
                <w:szCs w:val="24"/>
                <w:u w:val="none"/>
                <w:vertAlign w:val="baseline"/>
                <w:lang w:val="en-US" w:eastAsia="zh-CN"/>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val="en-US"/>
              </w:rPr>
            </w:pPr>
            <w:r>
              <w:rPr>
                <w:rFonts w:hint="default" w:ascii="Times New Roman" w:hAnsi="Times New Roman" w:eastAsia="仿宋_GB2312" w:cs="Times New Roman"/>
                <w:b w:val="0"/>
                <w:bCs w:val="0"/>
                <w:color w:val="C00000"/>
                <w:sz w:val="24"/>
                <w:szCs w:val="24"/>
                <w:u w:val="none"/>
                <w:vertAlign w:val="baseline"/>
                <w:lang w:val="en-US" w:eastAsia="zh-CN"/>
              </w:rPr>
              <w:t>提供软著</w:t>
            </w:r>
            <w:r>
              <w:rPr>
                <w:rFonts w:hint="default" w:ascii="Times New Roman" w:hAnsi="Times New Roman" w:eastAsia="仿宋_GB2312" w:cs="Times New Roman"/>
                <w:color w:val="C00000"/>
                <w:kern w:val="0"/>
                <w:sz w:val="24"/>
                <w:szCs w:val="24"/>
                <w:lang w:val="en-US" w:eastAsia="zh-CN" w:bidi="ar-SA"/>
              </w:rPr>
              <w:t>提升改造优势传统产业、推动战略新兴产业、引领未来产业方面的证明材料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1330"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计算机软件保护举措</w:t>
            </w:r>
          </w:p>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完善度</w:t>
            </w:r>
          </w:p>
          <w:p>
            <w:pPr>
              <w:jc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sz w:val="24"/>
                <w:szCs w:val="24"/>
              </w:rPr>
              <w:t>（20分）</w:t>
            </w:r>
          </w:p>
        </w:tc>
        <w:tc>
          <w:tcPr>
            <w:tcW w:w="1181" w:type="dxa"/>
            <w:vMerge w:val="restart"/>
            <w:tcBorders>
              <w:tl2br w:val="nil"/>
              <w:tr2bl w:val="nil"/>
            </w:tcBorders>
            <w:noWrap w:val="0"/>
            <w:vAlign w:val="center"/>
          </w:tcPr>
          <w:p>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版权保护</w:t>
            </w:r>
          </w:p>
          <w:p>
            <w:pPr>
              <w:jc w:val="center"/>
              <w:rPr>
                <w:rFonts w:hint="default" w:ascii="Times New Roman" w:hAnsi="Times New Roman" w:eastAsia="仿宋_GB2312" w:cs="Times New Roman"/>
                <w:color w:val="auto"/>
                <w:sz w:val="24"/>
                <w:szCs w:val="24"/>
                <w:lang w:val="en-US" w:eastAsia="zh-CN"/>
              </w:rPr>
            </w:pPr>
            <w:r>
              <w:rPr>
                <w:rFonts w:hint="default" w:ascii="Times New Roman" w:hAnsi="Times New Roman" w:eastAsia="仿宋_GB2312" w:cs="Times New Roman"/>
                <w:sz w:val="24"/>
                <w:szCs w:val="24"/>
              </w:rPr>
              <w:t>（20分）</w:t>
            </w: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机制建设</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6分</w:t>
            </w:r>
          </w:p>
        </w:tc>
        <w:tc>
          <w:tcPr>
            <w:tcW w:w="5732" w:type="dxa"/>
            <w:tcBorders>
              <w:tl2br w:val="nil"/>
              <w:tr2bl w:val="nil"/>
            </w:tcBorders>
            <w:noWrap w:val="0"/>
            <w:vAlign w:val="center"/>
          </w:tcPr>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主体内部版权使用管理机构健全、管理人员设置合理及管理规范制度齐全的，得5-6分</w:t>
            </w:r>
          </w:p>
          <w:p>
            <w:pPr>
              <w:widowControl/>
              <w:jc w:val="left"/>
              <w:textAlignment w:val="center"/>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24"/>
                <w:szCs w:val="24"/>
              </w:rPr>
              <w:t>主体内部版权使用管理机构较健全、管理人员设置较合理及管理规范制度较齐全的，得3-4分</w:t>
            </w:r>
          </w:p>
          <w:p>
            <w:pPr>
              <w:widowControl/>
              <w:textAlignment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kern w:val="0"/>
                <w:sz w:val="24"/>
                <w:szCs w:val="24"/>
              </w:rPr>
              <w:t>主体内部版权使用配置管理机构和管理人员，有一定的管理规范和制度的，得0-2分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kern w:val="2"/>
                <w:sz w:val="24"/>
                <w:szCs w:val="24"/>
                <w:u w:val="none"/>
                <w:vertAlign w:val="baseline"/>
                <w:lang w:val="en-US" w:eastAsia="zh-CN" w:bidi="ar-SA"/>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提供版权使用管理机构、管理人员设置、管理规范制度文件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330" w:type="dxa"/>
            <w:vMerge w:val="continue"/>
            <w:tcBorders>
              <w:tl2br w:val="nil"/>
              <w:tr2bl w:val="nil"/>
            </w:tcBorders>
            <w:noWrap w:val="0"/>
            <w:vAlign w:val="center"/>
          </w:tcPr>
          <w:p>
            <w:pPr>
              <w:jc w:val="center"/>
              <w:rPr>
                <w:rFonts w:hint="default" w:ascii="Times New Roman" w:hAnsi="Times New Roman" w:eastAsia="仿宋_GB2312" w:cs="Times New Roman"/>
                <w:color w:val="auto"/>
                <w:kern w:val="2"/>
                <w:sz w:val="24"/>
                <w:szCs w:val="24"/>
                <w:lang w:val="en-US" w:eastAsia="zh-CN" w:bidi="ar-SA"/>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保护措施</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6分</w:t>
            </w:r>
          </w:p>
        </w:tc>
        <w:tc>
          <w:tcPr>
            <w:tcW w:w="5732" w:type="dxa"/>
            <w:tcBorders>
              <w:tl2br w:val="nil"/>
              <w:tr2bl w:val="nil"/>
            </w:tcBorders>
            <w:noWrap w:val="0"/>
            <w:vAlign w:val="center"/>
          </w:tcPr>
          <w:p>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对侵权行为采取多种形式、较为完善的维权措施和预防措施的，得5-6分</w:t>
            </w:r>
          </w:p>
          <w:p>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对侵权行为采取较为有效的维权措施和预防措施的，得3-4分</w:t>
            </w:r>
          </w:p>
          <w:p>
            <w:pPr>
              <w:pStyle w:val="2"/>
              <w:jc w:val="left"/>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对侵权行为采取了维权措施和预防措施的，得0-2分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kern w:val="2"/>
                <w:sz w:val="24"/>
                <w:szCs w:val="24"/>
                <w:u w:val="none"/>
                <w:vertAlign w:val="baseline"/>
                <w:lang w:val="en-US" w:eastAsia="zh-CN" w:bidi="ar-SA"/>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rPr>
            </w:pPr>
            <w:r>
              <w:rPr>
                <w:rFonts w:hint="default" w:ascii="Times New Roman" w:hAnsi="Times New Roman" w:eastAsia="仿宋_GB2312" w:cs="Times New Roman"/>
                <w:b w:val="0"/>
                <w:bCs w:val="0"/>
                <w:color w:val="C00000"/>
                <w:sz w:val="24"/>
                <w:szCs w:val="24"/>
                <w:u w:val="none"/>
                <w:vertAlign w:val="baseline"/>
              </w:rPr>
              <w:t>提供版权保护措施相关文件、具体案例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330" w:type="dxa"/>
            <w:vMerge w:val="continue"/>
            <w:tcBorders>
              <w:tl2br w:val="nil"/>
              <w:tr2bl w:val="nil"/>
            </w:tcBorders>
            <w:noWrap w:val="0"/>
            <w:vAlign w:val="center"/>
          </w:tcPr>
          <w:p>
            <w:pPr>
              <w:spacing w:line="300" w:lineRule="exact"/>
              <w:jc w:val="center"/>
              <w:rPr>
                <w:rFonts w:hint="default" w:ascii="Times New Roman" w:hAnsi="Times New Roman" w:eastAsia="仿宋_GB2312" w:cs="Times New Roman"/>
                <w:b w:val="0"/>
                <w:bCs w:val="0"/>
                <w:color w:val="auto"/>
                <w:sz w:val="24"/>
                <w:szCs w:val="24"/>
                <w:u w:val="none"/>
                <w:vertAlign w:val="baseline"/>
              </w:rPr>
            </w:pPr>
          </w:p>
        </w:tc>
        <w:tc>
          <w:tcPr>
            <w:tcW w:w="1181" w:type="dxa"/>
            <w:vMerge w:val="continue"/>
            <w:tcBorders>
              <w:tl2br w:val="nil"/>
              <w:tr2bl w:val="nil"/>
            </w:tcBorders>
            <w:noWrap w:val="0"/>
            <w:vAlign w:val="center"/>
          </w:tcPr>
          <w:p>
            <w:pPr>
              <w:jc w:val="center"/>
              <w:rPr>
                <w:rFonts w:hint="default" w:ascii="Times New Roman" w:hAnsi="Times New Roman" w:eastAsia="仿宋_GB2312" w:cs="Times New Roman"/>
                <w:b w:val="0"/>
                <w:bCs w:val="0"/>
                <w:color w:val="auto"/>
                <w:sz w:val="24"/>
                <w:szCs w:val="24"/>
                <w:u w:val="none"/>
                <w:vertAlign w:val="baseline"/>
                <w:lang w:val="en-US" w:eastAsia="zh-CN"/>
              </w:rPr>
            </w:pPr>
          </w:p>
        </w:tc>
        <w:tc>
          <w:tcPr>
            <w:tcW w:w="1291" w:type="dxa"/>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保护效果</w:t>
            </w:r>
          </w:p>
        </w:tc>
        <w:tc>
          <w:tcPr>
            <w:tcW w:w="780" w:type="dxa"/>
            <w:tcBorders>
              <w:tl2br w:val="nil"/>
              <w:tr2bl w:val="nil"/>
            </w:tcBorders>
            <w:noWrap w:val="0"/>
            <w:vAlign w:val="center"/>
          </w:tcPr>
          <w:p>
            <w:pPr>
              <w:jc w:val="center"/>
              <w:rPr>
                <w:rFonts w:hint="default" w:ascii="Times New Roman" w:hAnsi="Times New Roman" w:eastAsia="仿宋_GB2312" w:cs="Times New Roman"/>
                <w:b w:val="0"/>
                <w:bCs w:val="0"/>
                <w:color w:val="auto"/>
                <w:kern w:val="2"/>
                <w:sz w:val="24"/>
                <w:szCs w:val="24"/>
                <w:u w:val="none"/>
                <w:vertAlign w:val="baseline"/>
                <w:lang w:val="en-US" w:eastAsia="zh-CN" w:bidi="ar-SA"/>
              </w:rPr>
            </w:pPr>
            <w:r>
              <w:rPr>
                <w:rFonts w:hint="default" w:ascii="Times New Roman" w:hAnsi="Times New Roman" w:eastAsia="仿宋_GB2312" w:cs="Times New Roman"/>
                <w:sz w:val="24"/>
                <w:szCs w:val="24"/>
              </w:rPr>
              <w:t>8分</w:t>
            </w:r>
          </w:p>
        </w:tc>
        <w:tc>
          <w:tcPr>
            <w:tcW w:w="5732" w:type="dxa"/>
            <w:tcBorders>
              <w:tl2br w:val="nil"/>
              <w:tr2bl w:val="nil"/>
            </w:tcBorders>
            <w:noWrap w:val="0"/>
            <w:vAlign w:val="center"/>
          </w:tcPr>
          <w:p>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版权保护措施及时性和有效性高，</w:t>
            </w:r>
            <w:r>
              <w:rPr>
                <w:rFonts w:hint="default" w:ascii="Times New Roman" w:hAnsi="Times New Roman" w:eastAsia="仿宋_GB2312" w:cs="Times New Roman"/>
                <w:color w:val="auto"/>
                <w:kern w:val="0"/>
                <w:sz w:val="24"/>
                <w:szCs w:val="24"/>
              </w:rPr>
              <w:t>相关典型经验被复制推广的</w:t>
            </w:r>
            <w:r>
              <w:rPr>
                <w:rFonts w:hint="default" w:ascii="Times New Roman" w:hAnsi="Times New Roman" w:eastAsia="仿宋_GB2312" w:cs="Times New Roman"/>
                <w:color w:val="auto"/>
                <w:sz w:val="24"/>
                <w:szCs w:val="24"/>
              </w:rPr>
              <w:t>，得6-8分</w:t>
            </w:r>
          </w:p>
          <w:p>
            <w:pPr>
              <w:pStyle w:val="2"/>
              <w:jc w:val="left"/>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版权保护措施及时性和有效性较高的，得4-5分</w:t>
            </w:r>
          </w:p>
          <w:p>
            <w:pPr>
              <w:widowControl/>
              <w:textAlignment w:val="center"/>
              <w:rPr>
                <w:rFonts w:hint="default" w:ascii="Times New Roman" w:hAnsi="Times New Roman" w:eastAsia="仿宋_GB2312" w:cs="Times New Roman"/>
                <w:color w:val="auto"/>
                <w:kern w:val="2"/>
                <w:sz w:val="24"/>
                <w:szCs w:val="24"/>
                <w:lang w:val="en-US" w:eastAsia="zh-CN" w:bidi="ar-SA"/>
              </w:rPr>
            </w:pPr>
            <w:r>
              <w:rPr>
                <w:rFonts w:hint="default" w:ascii="Times New Roman" w:hAnsi="Times New Roman" w:eastAsia="仿宋_GB2312" w:cs="Times New Roman"/>
                <w:color w:val="auto"/>
                <w:sz w:val="24"/>
                <w:szCs w:val="24"/>
              </w:rPr>
              <w:t>版权保护措施</w:t>
            </w:r>
            <w:r>
              <w:rPr>
                <w:rFonts w:hint="default" w:ascii="Times New Roman" w:hAnsi="Times New Roman" w:eastAsia="仿宋_GB2312" w:cs="Times New Roman"/>
                <w:color w:val="auto"/>
                <w:sz w:val="24"/>
                <w:szCs w:val="24"/>
                <w:lang w:val="en-US" w:eastAsia="zh-CN"/>
              </w:rPr>
              <w:t>具有</w:t>
            </w:r>
            <w:r>
              <w:rPr>
                <w:rFonts w:hint="default" w:ascii="Times New Roman" w:hAnsi="Times New Roman" w:eastAsia="仿宋_GB2312" w:cs="Times New Roman"/>
                <w:color w:val="auto"/>
                <w:sz w:val="24"/>
                <w:szCs w:val="24"/>
              </w:rPr>
              <w:t>及时性和有效性的，得0-3分</w:t>
            </w:r>
          </w:p>
        </w:tc>
        <w:tc>
          <w:tcPr>
            <w:tcW w:w="1688" w:type="dxa"/>
            <w:tcBorders>
              <w:tl2br w:val="nil"/>
              <w:tr2bl w:val="nil"/>
            </w:tcBorders>
            <w:noWrap w:val="0"/>
            <w:vAlign w:val="center"/>
          </w:tcPr>
          <w:p>
            <w:pPr>
              <w:jc w:val="left"/>
              <w:rPr>
                <w:rFonts w:hint="default" w:ascii="Times New Roman" w:hAnsi="Times New Roman" w:eastAsia="仿宋_GB2312" w:cs="Times New Roman"/>
                <w:b w:val="0"/>
                <w:bCs w:val="0"/>
                <w:color w:val="C00000"/>
                <w:kern w:val="2"/>
                <w:sz w:val="24"/>
                <w:szCs w:val="24"/>
                <w:u w:val="none"/>
                <w:vertAlign w:val="baseline"/>
                <w:lang w:val="en-US" w:eastAsia="zh-CN" w:bidi="ar-SA"/>
              </w:rPr>
            </w:pPr>
          </w:p>
        </w:tc>
        <w:tc>
          <w:tcPr>
            <w:tcW w:w="2856" w:type="dxa"/>
            <w:tcBorders>
              <w:tl2br w:val="nil"/>
              <w:tr2bl w:val="nil"/>
            </w:tcBorders>
            <w:noWrap w:val="0"/>
            <w:vAlign w:val="center"/>
          </w:tcPr>
          <w:p>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b w:val="0"/>
                <w:bCs w:val="0"/>
                <w:color w:val="C00000"/>
                <w:sz w:val="24"/>
                <w:szCs w:val="24"/>
                <w:u w:val="none"/>
                <w:vertAlign w:val="baseline"/>
                <w:lang w:eastAsia="zh-CN"/>
              </w:rPr>
            </w:pPr>
            <w:r>
              <w:rPr>
                <w:rFonts w:hint="default" w:ascii="Times New Roman" w:hAnsi="Times New Roman" w:eastAsia="仿宋_GB2312" w:cs="Times New Roman"/>
                <w:b w:val="0"/>
                <w:bCs w:val="0"/>
                <w:color w:val="C00000"/>
                <w:sz w:val="24"/>
                <w:szCs w:val="24"/>
                <w:u w:val="none"/>
                <w:vertAlign w:val="baseline"/>
                <w:lang w:val="en-US" w:eastAsia="zh-CN"/>
              </w:rPr>
              <w:t>提供</w:t>
            </w:r>
            <w:r>
              <w:rPr>
                <w:rFonts w:hint="default" w:ascii="Times New Roman" w:hAnsi="Times New Roman" w:eastAsia="仿宋_GB2312" w:cs="Times New Roman"/>
                <w:b w:val="0"/>
                <w:bCs w:val="0"/>
                <w:color w:val="C00000"/>
                <w:sz w:val="24"/>
                <w:szCs w:val="24"/>
                <w:u w:val="none"/>
                <w:vertAlign w:val="baseline"/>
                <w:lang w:eastAsia="zh-CN"/>
              </w:rPr>
              <w:t>典型案例</w:t>
            </w:r>
          </w:p>
        </w:tc>
      </w:tr>
      <w:bookmarkEnd w:id="0"/>
    </w:tbl>
    <w:p>
      <w:pPr>
        <w:pStyle w:val="7"/>
        <w:keepNext w:val="0"/>
        <w:keepLines w:val="0"/>
        <w:pageBreakBefore w:val="0"/>
        <w:widowControl w:val="0"/>
        <w:kinsoku/>
        <w:wordWrap/>
        <w:overflowPunct/>
        <w:topLinePunct w:val="0"/>
        <w:autoSpaceDE/>
        <w:autoSpaceDN/>
        <w:bidi w:val="0"/>
        <w:adjustRightInd/>
        <w:snapToGrid/>
        <w:spacing w:line="40" w:lineRule="exact"/>
        <w:ind w:firstLine="420"/>
        <w:textAlignment w:val="auto"/>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2134BA2"/>
    <w:rsid w:val="05B231E6"/>
    <w:rsid w:val="07BB18BD"/>
    <w:rsid w:val="099F5C8C"/>
    <w:rsid w:val="0A5E7D03"/>
    <w:rsid w:val="0ACE0C2C"/>
    <w:rsid w:val="0B2F5B8A"/>
    <w:rsid w:val="0B483E52"/>
    <w:rsid w:val="0C9D2956"/>
    <w:rsid w:val="0CB53EF5"/>
    <w:rsid w:val="0E0C26CA"/>
    <w:rsid w:val="169A5CA7"/>
    <w:rsid w:val="1C506E22"/>
    <w:rsid w:val="1F5FFA19"/>
    <w:rsid w:val="1F6E37CE"/>
    <w:rsid w:val="21D862EE"/>
    <w:rsid w:val="254D2D75"/>
    <w:rsid w:val="29AD4CF7"/>
    <w:rsid w:val="2DAE3095"/>
    <w:rsid w:val="3ACF1C80"/>
    <w:rsid w:val="3F634A8A"/>
    <w:rsid w:val="44CC7CC6"/>
    <w:rsid w:val="458A4B1F"/>
    <w:rsid w:val="4AE13C37"/>
    <w:rsid w:val="4DBBF284"/>
    <w:rsid w:val="4E87247C"/>
    <w:rsid w:val="545D2F0D"/>
    <w:rsid w:val="579768D9"/>
    <w:rsid w:val="5EEF19B8"/>
    <w:rsid w:val="648A522B"/>
    <w:rsid w:val="658A0947"/>
    <w:rsid w:val="6D6A33D4"/>
    <w:rsid w:val="6F125A01"/>
    <w:rsid w:val="709F790C"/>
    <w:rsid w:val="72AB324F"/>
    <w:rsid w:val="73933ED0"/>
    <w:rsid w:val="76F86EFD"/>
    <w:rsid w:val="77292D6B"/>
    <w:rsid w:val="777B53B4"/>
    <w:rsid w:val="7923404B"/>
    <w:rsid w:val="7B302583"/>
    <w:rsid w:val="7C530EBB"/>
    <w:rsid w:val="7DD3D852"/>
    <w:rsid w:val="BFB7B55D"/>
    <w:rsid w:val="CFFE3131"/>
    <w:rsid w:val="DCFD119A"/>
    <w:rsid w:val="DEF386A1"/>
    <w:rsid w:val="EBDF1D18"/>
    <w:rsid w:val="EFEE3251"/>
    <w:rsid w:val="EFF753D5"/>
    <w:rsid w:val="F9767652"/>
    <w:rsid w:val="FEEF8BDD"/>
    <w:rsid w:val="FFDFC30F"/>
    <w:rsid w:val="FFF6A7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jc w:val="center"/>
      <w:outlineLvl w:val="0"/>
    </w:pPr>
    <w:rPr>
      <w:rFonts w:ascii="方正小标宋简体" w:eastAsia="方正小标宋简体"/>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footer"/>
    <w:basedOn w:val="1"/>
    <w:qFormat/>
    <w:uiPriority w:val="99"/>
    <w:pPr>
      <w:snapToGrid w:val="0"/>
      <w:jc w:val="left"/>
    </w:pPr>
    <w:rPr>
      <w:sz w:val="18"/>
      <w:szCs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Body Text First Indent"/>
    <w:basedOn w:val="2"/>
    <w:qFormat/>
    <w:uiPriority w:val="0"/>
    <w:pPr>
      <w:spacing w:line="500" w:lineRule="exact"/>
      <w:ind w:firstLine="420"/>
    </w:pPr>
    <w:rPr>
      <w:rFonts w:eastAsia="宋体"/>
      <w:sz w:val="32"/>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font51"/>
    <w:basedOn w:val="10"/>
    <w:qFormat/>
    <w:uiPriority w:val="0"/>
    <w:rPr>
      <w:rFonts w:hint="eastAsia" w:ascii="仿宋_GB2312" w:eastAsia="仿宋_GB2312" w:cs="仿宋_GB2312"/>
      <w:color w:val="FF0000"/>
      <w:sz w:val="22"/>
      <w:szCs w:val="22"/>
      <w:u w:val="none"/>
    </w:rPr>
  </w:style>
  <w:style w:type="character" w:customStyle="1" w:styleId="13">
    <w:name w:val="font41"/>
    <w:basedOn w:val="10"/>
    <w:qFormat/>
    <w:uiPriority w:val="0"/>
    <w:rPr>
      <w:rFonts w:hint="eastAsia" w:ascii="仿宋_GB2312" w:eastAsia="仿宋_GB2312" w:cs="仿宋_GB2312"/>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3064</Words>
  <Characters>3189</Characters>
  <Lines>0</Lines>
  <Paragraphs>0</Paragraphs>
  <TotalTime>1</TotalTime>
  <ScaleCrop>false</ScaleCrop>
  <LinksUpToDate>false</LinksUpToDate>
  <CharactersWithSpaces>3189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2022-10-14T14:54:00Z</dcterms:created>
  <dc:creator>井的男朋友</dc:creator>
  <cp:lastModifiedBy>王潇雨</cp:lastModifiedBy>
  <dcterms:modified xsi:type="dcterms:W3CDTF">2022-11-23T04:19:12Z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DBB81051A94E4E57B0796FD21F9937E6</vt:lpwstr>
  </property>
</Properties>
</file>